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DD50" w14:textId="77777777" w:rsidR="00941389" w:rsidRPr="002D0799" w:rsidRDefault="00941389" w:rsidP="00941389">
      <w:pPr>
        <w:spacing w:line="360" w:lineRule="auto"/>
        <w:jc w:val="left"/>
        <w:rPr>
          <w:rFonts w:asciiTheme="minorHAnsi" w:hAnsiTheme="minorHAnsi" w:cstheme="minorHAnsi"/>
        </w:rPr>
      </w:pPr>
      <w:r w:rsidRPr="002D0799">
        <w:rPr>
          <w:rFonts w:asciiTheme="minorHAnsi" w:hAnsiTheme="minorHAnsi" w:cstheme="minorHAnsi"/>
        </w:rPr>
        <w:t>Imię i nazwisko Pacjenta:</w:t>
      </w:r>
      <w:r>
        <w:rPr>
          <w:rFonts w:asciiTheme="minorHAnsi" w:hAnsiTheme="minorHAnsi" w:cstheme="minorHAnsi"/>
        </w:rPr>
        <w:t xml:space="preserve"> </w:t>
      </w:r>
      <w:r w:rsidRPr="002D0799">
        <w:rPr>
          <w:rFonts w:ascii="Calibri" w:hAnsi="Calibri" w:cs="Calibri"/>
        </w:rPr>
        <w:t xml:space="preserve">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…………………………….</w:t>
      </w:r>
    </w:p>
    <w:p w14:paraId="0BDF1D82" w14:textId="77777777" w:rsidR="00941389" w:rsidRPr="002D0799" w:rsidRDefault="00941389" w:rsidP="00941389">
      <w:pPr>
        <w:spacing w:line="360" w:lineRule="auto"/>
        <w:jc w:val="both"/>
        <w:rPr>
          <w:rFonts w:asciiTheme="minorHAnsi" w:hAnsiTheme="minorHAnsi" w:cstheme="minorHAnsi"/>
        </w:rPr>
      </w:pPr>
    </w:p>
    <w:p w14:paraId="097BB6BB" w14:textId="77777777" w:rsidR="00941389" w:rsidRDefault="00941389" w:rsidP="00941389">
      <w:pPr>
        <w:spacing w:line="360" w:lineRule="auto"/>
        <w:jc w:val="left"/>
        <w:rPr>
          <w:rFonts w:asciiTheme="minorHAnsi" w:hAnsiTheme="minorHAnsi" w:cstheme="minorHAnsi"/>
        </w:rPr>
      </w:pPr>
      <w:r w:rsidRPr="002D0799">
        <w:rPr>
          <w:rFonts w:asciiTheme="minorHAnsi" w:hAnsiTheme="minorHAnsi" w:cstheme="minorHAnsi"/>
        </w:rPr>
        <w:t>PESEL/Data urodzenia:</w:t>
      </w:r>
      <w:r>
        <w:rPr>
          <w:rFonts w:asciiTheme="minorHAnsi" w:hAnsiTheme="minorHAnsi" w:cstheme="minorHAnsi"/>
        </w:rPr>
        <w:t xml:space="preserve"> </w:t>
      </w:r>
      <w:r w:rsidRPr="002D0799">
        <w:rPr>
          <w:rFonts w:ascii="Calibri" w:hAnsi="Calibri" w:cs="Calibri"/>
        </w:rPr>
        <w:t xml:space="preserve">…............................……………………………………………………</w:t>
      </w:r>
      <w:r>
        <w:rPr>
          <w:rFonts w:ascii="Calibri" w:hAnsi="Calibri" w:cs="Calibri"/>
        </w:rPr>
        <w:t xml:space="preserve">…………………….</w:t>
      </w:r>
    </w:p>
    <w:p w14:paraId="6A1DE7BE" w14:textId="77777777" w:rsidR="00941389" w:rsidRPr="002D0799" w:rsidRDefault="00941389" w:rsidP="00941389">
      <w:pPr>
        <w:spacing w:line="360" w:lineRule="auto"/>
        <w:jc w:val="both"/>
        <w:rPr>
          <w:rFonts w:asciiTheme="minorHAnsi" w:hAnsiTheme="minorHAnsi" w:cstheme="minorHAnsi"/>
        </w:rPr>
      </w:pPr>
    </w:p>
    <w:p w14:paraId="18504CA0" w14:textId="66D605EE" w:rsidR="00941389" w:rsidRDefault="00941389" w:rsidP="00941389">
      <w:pPr>
        <w:spacing w:line="360" w:lineRule="auto"/>
        <w:jc w:val="center"/>
        <w:rPr>
          <w:rFonts w:asciiTheme="minorHAnsi" w:hAnsiTheme="minorHAnsi" w:cstheme="minorHAnsi"/>
          <w:b/>
          <w:sz w:val="27"/>
          <w:szCs w:val="27"/>
        </w:rPr>
      </w:pPr>
      <w:r w:rsidRPr="002D0799">
        <w:rPr>
          <w:rFonts w:asciiTheme="minorHAnsi" w:hAnsiTheme="minorHAnsi" w:cstheme="minorHAnsi"/>
          <w:b/>
          <w:sz w:val="27"/>
          <w:szCs w:val="27"/>
        </w:rPr>
        <w:t>Zgod</w:t>
      </w:r>
      <w:r w:rsidR="000471D4">
        <w:rPr>
          <w:rFonts w:asciiTheme="minorHAnsi" w:hAnsiTheme="minorHAnsi" w:cstheme="minorHAnsi"/>
          <w:b/>
          <w:sz w:val="27"/>
          <w:szCs w:val="27"/>
        </w:rPr>
        <w:t>a</w:t>
      </w:r>
      <w:r w:rsidRPr="002D0799">
        <w:rPr>
          <w:rFonts w:asciiTheme="minorHAnsi" w:hAnsiTheme="minorHAnsi" w:cstheme="minorHAnsi"/>
          <w:b/>
          <w:sz w:val="27"/>
          <w:szCs w:val="27"/>
        </w:rPr>
        <w:t xml:space="preserve"> na </w:t>
      </w:r>
      <w:r>
        <w:rPr>
          <w:rFonts w:asciiTheme="minorHAnsi" w:hAnsiTheme="minorHAnsi" w:cstheme="minorHAnsi"/>
          <w:b/>
          <w:sz w:val="27"/>
          <w:szCs w:val="27"/>
        </w:rPr>
        <w:t>zabieg sklerotyzacji</w:t>
      </w:r>
    </w:p>
    <w:p w14:paraId="5B985F7A" w14:textId="77777777" w:rsidR="00941389" w:rsidRPr="002D0799" w:rsidRDefault="00941389" w:rsidP="00941389">
      <w:pPr>
        <w:spacing w:line="360" w:lineRule="auto"/>
        <w:jc w:val="center"/>
        <w:rPr>
          <w:rFonts w:asciiTheme="minorHAnsi" w:hAnsiTheme="minorHAnsi" w:cstheme="minorHAnsi"/>
          <w:bCs/>
        </w:rPr>
      </w:pPr>
    </w:p>
    <w:p w14:paraId="7F93C4DA" w14:textId="63306445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szCs w:val="23"/>
        </w:rPr>
      </w:pPr>
      <w:r w:rsidRPr="00A82E4B">
        <w:rPr>
          <w:rFonts w:asciiTheme="minorHAnsi" w:hAnsiTheme="minorHAnsi" w:cstheme="minorHAnsi"/>
          <w:bCs/>
          <w:szCs w:val="23"/>
          <w:u w:val="single"/>
        </w:rPr>
        <w:t>Wskazania do zabiegu</w:t>
      </w:r>
    </w:p>
    <w:p w14:paraId="4707DBB8" w14:textId="31C3AD22" w:rsidR="00941389" w:rsidRPr="00A82E4B" w:rsidRDefault="00941389" w:rsidP="00A82E4B">
      <w:pPr>
        <w:spacing w:line="360" w:lineRule="auto"/>
        <w:jc w:val="both"/>
        <w:rPr>
          <w:rFonts w:asciiTheme="minorHAnsi" w:eastAsia="Arial" w:hAnsiTheme="minorHAnsi" w:cstheme="minorHAnsi"/>
          <w:bCs/>
          <w:kern w:val="0"/>
          <w:lang w:eastAsia="pl-PL" w:bidi="ar-SA"/>
        </w:rPr>
      </w:pPr>
      <w:r w:rsidRPr="00A82E4B">
        <w:rPr>
          <w:rFonts w:asciiTheme="minorHAnsi" w:eastAsia="Arial" w:hAnsiTheme="minorHAnsi" w:cstheme="minorHAnsi"/>
          <w:bCs/>
          <w:kern w:val="0"/>
          <w:lang w:eastAsia="pl-PL" w:bidi="ar-SA"/>
        </w:rPr>
        <w:t xml:space="preserve">Skleroterapia jest uznaną metodą leczenia zmienionych, poszerzonych naczyń krwionośnych takich jak teleangiektazje (zmiany potocznie nazywane „pajączkami naczyniowymi”) i żyły siatkowate. Daje również możliwość leczenia żylaków nawrotowych, niewydolnych żył przeszywających, niewydolnych żył odpiszczelowych i odstrzałkowych. </w:t>
      </w:r>
      <w:r w:rsidRPr="00A82E4B">
        <w:rPr>
          <w:rFonts w:asciiTheme="minorHAnsi" w:eastAsia="Arial" w:hAnsiTheme="minorHAnsi" w:cstheme="minorHAnsi"/>
          <w:bCs/>
          <w:kern w:val="0"/>
          <w:lang w:eastAsia="pl-PL" w:bidi="ar-SA"/>
        </w:rPr>
        <w:br/>
        <w:t>Skleroterapia jest jedną z wielu metod leczenia niewydolności żylnej. Która z metod będzie najlepsza w danej sytuacji klinicznej decyduje lekarz, specjalista chirurgii naczyniowej, na podstawie całości obrazu klinicznego i badania USG Doppler, które jest zawsze wykonywane przed rozpoczęciem leczenia.</w:t>
      </w:r>
    </w:p>
    <w:p w14:paraId="171AD357" w14:textId="77777777" w:rsidR="00941389" w:rsidRPr="00A82E4B" w:rsidRDefault="00941389" w:rsidP="00A82E4B">
      <w:pPr>
        <w:spacing w:line="360" w:lineRule="auto"/>
        <w:jc w:val="both"/>
        <w:rPr>
          <w:rFonts w:asciiTheme="minorHAnsi" w:eastAsia="Arial" w:hAnsiTheme="minorHAnsi" w:cstheme="minorHAnsi"/>
          <w:bCs/>
          <w:kern w:val="0"/>
          <w:lang w:eastAsia="pl-PL" w:bidi="ar-SA"/>
        </w:rPr>
      </w:pPr>
    </w:p>
    <w:p w14:paraId="1384EB0D" w14:textId="21F37D19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szCs w:val="23"/>
          <w:u w:val="single"/>
        </w:rPr>
      </w:pPr>
      <w:r w:rsidRPr="00A82E4B">
        <w:rPr>
          <w:rFonts w:asciiTheme="minorHAnsi" w:hAnsiTheme="minorHAnsi" w:cstheme="minorHAnsi"/>
          <w:bCs/>
          <w:szCs w:val="23"/>
          <w:u w:val="single"/>
        </w:rPr>
        <w:t>Przeciwskazania do zabiegu</w:t>
      </w:r>
    </w:p>
    <w:p w14:paraId="6656D980" w14:textId="24EF440F" w:rsidR="00941389" w:rsidRPr="00941389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Przeciwwskazania do leczenia metodą skleroterapii dzielimy na bezwzględne (sytuacje, w których nie podejmuje się leczenia) oraz względne (leczenie można podjąć z pewnymi ograniczeniami).</w:t>
      </w:r>
    </w:p>
    <w:p w14:paraId="2CE2E19D" w14:textId="77777777" w:rsidR="00941389" w:rsidRPr="00941389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Przeciwwskazania bezwzględne.</w:t>
      </w:r>
    </w:p>
    <w:p w14:paraId="16F5FCE9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Ciąża. </w:t>
      </w:r>
    </w:p>
    <w:p w14:paraId="75F424F2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Zakrzepica żylna. </w:t>
      </w:r>
    </w:p>
    <w:p w14:paraId="323A61DC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Alergia na lek używany podczas zabiegu. </w:t>
      </w:r>
    </w:p>
    <w:p w14:paraId="04C8F7D6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Wady serca – zwłaszcza z ubytkiem przegrody przedsionkowej. </w:t>
      </w:r>
    </w:p>
    <w:p w14:paraId="2CD88816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Unieruchomienie, niezdolność do poruszania się. </w:t>
      </w:r>
    </w:p>
    <w:p w14:paraId="09E98871" w14:textId="77777777" w:rsidR="00941389" w:rsidRPr="00941389" w:rsidRDefault="00941389" w:rsidP="00A82E4B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Ostra infekcja. </w:t>
      </w:r>
    </w:p>
    <w:p w14:paraId="5F23FF5C" w14:textId="77777777" w:rsidR="00941389" w:rsidRPr="00941389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Przeciwwskazania względne. </w:t>
      </w:r>
    </w:p>
    <w:p w14:paraId="030861FD" w14:textId="77777777" w:rsidR="00941389" w:rsidRPr="00941389" w:rsidRDefault="00941389" w:rsidP="00A82E4B">
      <w:pPr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Karmienie piersią </w:t>
      </w:r>
    </w:p>
    <w:p w14:paraId="73A3DA29" w14:textId="77777777" w:rsidR="00941389" w:rsidRPr="00941389" w:rsidRDefault="00941389" w:rsidP="00A82E4B">
      <w:pPr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lastRenderedPageBreak/>
        <w:t xml:space="preserve">Migrena. </w:t>
      </w:r>
    </w:p>
    <w:p w14:paraId="688F888C" w14:textId="6FF53A06" w:rsidR="00941389" w:rsidRPr="00A82E4B" w:rsidRDefault="00941389" w:rsidP="00A82E4B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bCs/>
          <w:szCs w:val="23"/>
        </w:rPr>
      </w:pPr>
      <w:r w:rsidRPr="00A82E4B">
        <w:rPr>
          <w:rFonts w:asciiTheme="minorHAnsi" w:hAnsiTheme="minorHAnsi" w:cstheme="minorHAnsi"/>
          <w:bCs/>
          <w:szCs w:val="23"/>
        </w:rPr>
        <w:t>Stan po przebytej zakrzepicy żył głębokich.</w:t>
      </w:r>
    </w:p>
    <w:p w14:paraId="626A1E30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7E75989" w14:textId="138E4A24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szCs w:val="23"/>
          <w:u w:val="single"/>
        </w:rPr>
      </w:pPr>
      <w:r w:rsidRPr="00A82E4B">
        <w:rPr>
          <w:rFonts w:asciiTheme="minorHAnsi" w:hAnsiTheme="minorHAnsi" w:cstheme="minorHAnsi"/>
          <w:szCs w:val="23"/>
          <w:u w:val="single"/>
        </w:rPr>
        <w:t>Opis planowanego zabiegu oraz opis prognozowanych efektów zabiegu</w:t>
      </w:r>
    </w:p>
    <w:p w14:paraId="54872240" w14:textId="51268B2F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>Skleroterapia polega na kontrolowanym podaniu (wstrzyknięciu za pomocą strzykawki i igły) środka obliterującego do wnętrza chorego naczynia. Podany lek ma właściwości drażniące; uszkadza on nabłonek chorego naczynia, powoduje powstanie w nim odczynu zapalnego, który prowadzi do zamknięcia naczynia. Zamknięte naczynie nie wypełnia się krwią i staje się słabo lub zupełnie niewidoczne.</w:t>
      </w:r>
      <w:r w:rsidRPr="00A82E4B">
        <w:rPr>
          <w:rFonts w:asciiTheme="minorHAnsi" w:hAnsiTheme="minorHAnsi" w:cstheme="minorHAnsi"/>
          <w:bCs/>
        </w:rPr>
        <w:br/>
        <w:t>Lekiem stosowanym podczas zabiegów skleroterapii jest zwykle polidokanol (nazwa handlowa to Aetoxysclerol). Lek stosowany jest w różnych stężeniach i różnej formie. Wszystko zależy od sytuacji klinicznej i dostosowywane jest indywidualnie do każdego pacjenta. Podanie leku wykonuje się pod kontrolą wzroku, specjalnego podświetlacza naczyniowego lub aparatu USG. Postępowanie również ustalane jest indywidualnie. Po wstrzyknięciu leku, w miejscu wkłucia zakłada się opatrunki. Zabieg kończy założenie uciskowej pończochy o II stopniu ucisku. Po wykonanym zabiegu pacjent otrzymuje kartę informacyjną wraz z precyzyjną instrukcją dalszego postępowania. Sleroterapia jest metodą, w której nie można w pełni przewidzieć i zagwarantować oczekiwanych efektów leczenia. Zwykle leczenie obejmuje wykonanie kilku zabiegów (najczęściej 2 – 4). Nawroty żylaków, tak jak w trakcie leczenia innymi metodami są związane najczęściej z indywidualną predyspozycją i postępem choroby.</w:t>
      </w:r>
    </w:p>
    <w:p w14:paraId="7070F9DB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78542A84" w14:textId="003A207C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szCs w:val="23"/>
          <w:u w:val="single"/>
        </w:rPr>
      </w:pPr>
      <w:r w:rsidRPr="00A82E4B">
        <w:rPr>
          <w:rFonts w:asciiTheme="minorHAnsi" w:hAnsiTheme="minorHAnsi" w:cstheme="minorHAnsi"/>
          <w:szCs w:val="23"/>
          <w:u w:val="single"/>
        </w:rPr>
        <w:t>Opis potencjalnych powikłań i działań niepożądanych</w:t>
      </w:r>
    </w:p>
    <w:p w14:paraId="435132BD" w14:textId="77777777" w:rsidR="00941389" w:rsidRPr="00941389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Każda forma terapii zabiegowej obarczona jest pewnym ryzykiem powikłań.</w:t>
      </w:r>
      <w:r w:rsidRPr="00941389">
        <w:rPr>
          <w:rFonts w:asciiTheme="minorHAnsi" w:hAnsiTheme="minorHAnsi" w:cstheme="minorHAnsi"/>
          <w:bCs/>
        </w:rPr>
        <w:br/>
        <w:t>Nie istnieją metody leczenia zabiegowego, które są ich całkowicie pozbawione.</w:t>
      </w:r>
      <w:r w:rsidRPr="00941389">
        <w:rPr>
          <w:rFonts w:asciiTheme="minorHAnsi" w:hAnsiTheme="minorHAnsi" w:cstheme="minorHAnsi"/>
          <w:bCs/>
        </w:rPr>
        <w:br/>
        <w:t xml:space="preserve">Najczęstsze powikłania i działania niepożądane po skleroterapii są zazwyczaj niegroźne i ustępują samoistnie. </w:t>
      </w:r>
    </w:p>
    <w:p w14:paraId="1D144DF6" w14:textId="77777777" w:rsidR="00941389" w:rsidRPr="00941389" w:rsidRDefault="00941389" w:rsidP="00A82E4B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Przebarwienia skóry i tkanki podskórnej w okolicy zamykanych naczyń.</w:t>
      </w:r>
      <w:r w:rsidRPr="00941389">
        <w:rPr>
          <w:rFonts w:asciiTheme="minorHAnsi" w:hAnsiTheme="minorHAnsi" w:cstheme="minorHAnsi"/>
          <w:bCs/>
        </w:rPr>
        <w:br/>
        <w:t xml:space="preserve">Najczęściej ustępują samoistnie po około 2 – 4 tygodniach. Znacznie rzadziej po kilku </w:t>
      </w:r>
      <w:r w:rsidRPr="00941389">
        <w:rPr>
          <w:rFonts w:asciiTheme="minorHAnsi" w:hAnsiTheme="minorHAnsi" w:cstheme="minorHAnsi"/>
          <w:bCs/>
        </w:rPr>
        <w:lastRenderedPageBreak/>
        <w:t>miesiącach.</w:t>
      </w:r>
      <w:r w:rsidRPr="00941389">
        <w:rPr>
          <w:rFonts w:asciiTheme="minorHAnsi" w:hAnsiTheme="minorHAnsi" w:cstheme="minorHAnsi"/>
          <w:bCs/>
        </w:rPr>
        <w:br/>
        <w:t xml:space="preserve">Trwałe przebarwienia są możliwe, ale występują sporadycznie. </w:t>
      </w:r>
    </w:p>
    <w:p w14:paraId="2EFF8CEB" w14:textId="77777777" w:rsidR="00941389" w:rsidRPr="00941389" w:rsidRDefault="00941389" w:rsidP="00A82E4B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Bolesność i zaczerwienienie z miejscu podania leku. Ustępuje samoistnie po około 2 – 4 tygodniach, jest związane z działaniem podanego leku. W pewnych sytuacjach zaczerwienienie może utrzymywać się dłużej (taka sytuacja ma miejsce, gdy dojdzie do przedostania się leku poza naczynie).</w:t>
      </w:r>
      <w:r w:rsidRPr="00941389">
        <w:rPr>
          <w:rFonts w:asciiTheme="minorHAnsi" w:hAnsiTheme="minorHAnsi" w:cstheme="minorHAnsi"/>
          <w:bCs/>
        </w:rPr>
        <w:br/>
        <w:t>Owrzodzenie i martwica skóry w miejscu podania leku – rzadko występująca sytuacja spowodowana podaniem dużej ilości leku poza naczynie.</w:t>
      </w:r>
      <w:r w:rsidRPr="00941389">
        <w:rPr>
          <w:rFonts w:asciiTheme="minorHAnsi" w:hAnsiTheme="minorHAnsi" w:cstheme="minorHAnsi"/>
          <w:bCs/>
        </w:rPr>
        <w:br/>
        <w:t xml:space="preserve">Odczyny i reakcje alergiczne na podany lek. Z tego powodu należy poinformować lekarza o skłonnościach do reakcji alergicznych i o uczuleniach. Dla bezpieczeństwa pierwszy zabieg wykonuje się niewielką objętością leku o niskim stężeniu. </w:t>
      </w:r>
    </w:p>
    <w:p w14:paraId="1CCDCFD7" w14:textId="77777777" w:rsidR="00941389" w:rsidRPr="00941389" w:rsidRDefault="00941389" w:rsidP="00A82E4B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>Zakrzepica żył głębokich i zatorowość płucna.</w:t>
      </w:r>
      <w:r w:rsidRPr="00941389">
        <w:rPr>
          <w:rFonts w:asciiTheme="minorHAnsi" w:hAnsiTheme="minorHAnsi" w:cstheme="minorHAnsi"/>
          <w:bCs/>
        </w:rPr>
        <w:br/>
        <w:t xml:space="preserve">Bardzo rzadko występujące powikłanie spowodowane przedostaniem się dużej objętości leku do układu żył głębokich. Ryzyko tego powikłania wzrasta w sytuacji nie przestrzegania zaleceń po zabiegu (konieczny 30 minutowy intensywny spacer). </w:t>
      </w:r>
    </w:p>
    <w:p w14:paraId="1EAB34FD" w14:textId="77777777" w:rsidR="00941389" w:rsidRPr="00941389" w:rsidRDefault="00941389" w:rsidP="00A82E4B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Wywołanie napadu migreny. Osoby cierpiące na tę chorobę powinny zgłosić ten fakt lekarzowi przed rozpoczęciem leczenia. </w:t>
      </w:r>
    </w:p>
    <w:p w14:paraId="291C8522" w14:textId="77777777" w:rsidR="00941389" w:rsidRPr="00941389" w:rsidRDefault="00941389" w:rsidP="00A82E4B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941389">
        <w:rPr>
          <w:rFonts w:asciiTheme="minorHAnsi" w:hAnsiTheme="minorHAnsi" w:cstheme="minorHAnsi"/>
          <w:bCs/>
        </w:rPr>
        <w:t xml:space="preserve">W literaturze opisywano przypadki rozległej martwicy kończyny spowodowane omyłkowym podaniem leku do tętnicy. Tego rodzaju powikłanie jest wyjątkowo rzadkie. </w:t>
      </w:r>
    </w:p>
    <w:p w14:paraId="1C837A91" w14:textId="462C3E2C" w:rsidR="00941389" w:rsidRPr="00A82E4B" w:rsidRDefault="00941389" w:rsidP="00A82E4B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bCs/>
          <w:szCs w:val="23"/>
        </w:rPr>
      </w:pPr>
      <w:r w:rsidRPr="00A82E4B">
        <w:rPr>
          <w:rFonts w:asciiTheme="minorHAnsi" w:hAnsiTheme="minorHAnsi" w:cstheme="minorHAnsi"/>
          <w:bCs/>
          <w:szCs w:val="23"/>
        </w:rPr>
        <w:t>Należy pamiętać również o możliwości wystąpienia powikłań do tej pory nie znanych.</w:t>
      </w:r>
    </w:p>
    <w:p w14:paraId="4258DA33" w14:textId="77777777" w:rsidR="00941389" w:rsidRPr="00A82E4B" w:rsidRDefault="00941389" w:rsidP="00A82E4B">
      <w:pPr>
        <w:spacing w:line="360" w:lineRule="auto"/>
        <w:ind w:left="360"/>
        <w:jc w:val="both"/>
        <w:rPr>
          <w:rFonts w:asciiTheme="minorHAnsi" w:hAnsiTheme="minorHAnsi" w:cstheme="minorHAnsi"/>
          <w:bCs/>
        </w:rPr>
      </w:pPr>
    </w:p>
    <w:p w14:paraId="46A95FCD" w14:textId="455DE0C4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szCs w:val="23"/>
          <w:u w:val="single"/>
        </w:rPr>
      </w:pPr>
      <w:r w:rsidRPr="00A82E4B">
        <w:rPr>
          <w:rFonts w:asciiTheme="minorHAnsi" w:hAnsiTheme="minorHAnsi" w:cstheme="minorHAnsi"/>
          <w:bCs/>
          <w:szCs w:val="23"/>
          <w:u w:val="single"/>
        </w:rPr>
        <w:t>Zalecenia po zabiegu</w:t>
      </w:r>
    </w:p>
    <w:p w14:paraId="33A506E3" w14:textId="77777777" w:rsidR="00941389" w:rsidRPr="00A82E4B" w:rsidRDefault="00941389" w:rsidP="00A82E4B">
      <w:pPr>
        <w:pStyle w:val="Akapitzlist"/>
        <w:numPr>
          <w:ilvl w:val="0"/>
          <w:numId w:val="11"/>
        </w:numPr>
        <w:suppressAutoHyphens w:val="0"/>
        <w:jc w:val="both"/>
        <w:rPr>
          <w:rFonts w:asciiTheme="minorHAnsi" w:eastAsia="Arial" w:hAnsiTheme="minorHAnsi" w:cstheme="minorHAnsi"/>
          <w:kern w:val="0"/>
          <w:szCs w:val="23"/>
          <w:lang w:eastAsia="pl-PL" w:bidi="ar-SA"/>
        </w:rPr>
      </w:pPr>
      <w:r w:rsidRPr="00A82E4B">
        <w:rPr>
          <w:rFonts w:asciiTheme="minorHAnsi" w:eastAsia="Arial" w:hAnsiTheme="minorHAnsi" w:cstheme="minorHAnsi"/>
          <w:kern w:val="0"/>
          <w:szCs w:val="23"/>
          <w:lang w:eastAsia="pl-PL" w:bidi="ar-SA"/>
        </w:rPr>
        <w:t xml:space="preserve">Po zabiegu każdy chory otrzymuje kartę informacyjną z zaleceniami. Nie przestrzeganie ich lub samodzielna modyfikacja może być przyczyną powstania powikłań lub niepowodzenia leczenia. </w:t>
      </w:r>
    </w:p>
    <w:p w14:paraId="5D060196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Bezpośrednio po zabiegu zalecamy intensywny 30 minutowy spacer. </w:t>
      </w:r>
    </w:p>
    <w:p w14:paraId="4A77D080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Pończochę założoną po zabiegu pozostawiamy do wieczora następnego dnia. W przypadku odczuwania dyskomfortu, jakiejkolwiek bolesności w miejscach założonych opatrunków pończochą należy zdjąć w pozycji leżącej, usunąć opatrunki i ponownie założyć pończochę. </w:t>
      </w:r>
    </w:p>
    <w:p w14:paraId="7186A5C0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lastRenderedPageBreak/>
        <w:t xml:space="preserve">Przez kolejne 2 tygodnie pończochę zakładamy rano i nosimy do wieczora. W nocy noga bez pończochy. </w:t>
      </w:r>
    </w:p>
    <w:p w14:paraId="55919C21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Bolesne i zaczerwienione miejsca należy delikatnie smarować kremem Naproxen lub Voltaren. </w:t>
      </w:r>
    </w:p>
    <w:p w14:paraId="4E1F6EAF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Brązowe przebarwienia ulegną szybszej resorpcji po zastosowaniu kremu Keladerm. </w:t>
      </w:r>
    </w:p>
    <w:p w14:paraId="26E62178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W trakcie pierwszych dwóch tygodni po zabiegu niezalecane jest wykonywanie forsownych ćwiczeń na siłowni oraz podejmowanie ciężkiej fizycznej pracy. </w:t>
      </w:r>
    </w:p>
    <w:p w14:paraId="659EAFAA" w14:textId="77777777" w:rsidR="00941389" w:rsidRPr="00941389" w:rsidRDefault="00941389" w:rsidP="00A82E4B">
      <w:pPr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rFonts w:asciiTheme="minorHAnsi" w:eastAsia="Arial" w:hAnsiTheme="minorHAnsi" w:cstheme="minorHAnsi"/>
          <w:kern w:val="0"/>
          <w:lang w:eastAsia="pl-PL" w:bidi="ar-SA"/>
        </w:rPr>
      </w:pPr>
      <w:r w:rsidRPr="00941389">
        <w:rPr>
          <w:rFonts w:asciiTheme="minorHAnsi" w:eastAsia="Arial" w:hAnsiTheme="minorHAnsi" w:cstheme="minorHAnsi"/>
          <w:kern w:val="0"/>
          <w:lang w:eastAsia="pl-PL" w:bidi="ar-SA"/>
        </w:rPr>
        <w:t xml:space="preserve">W trakcie pierwszych 2 – 4 tygodni należy unikać opalania leczonej kończyny i korzystania z solarium. </w:t>
      </w:r>
    </w:p>
    <w:p w14:paraId="213280B7" w14:textId="13C5FA02" w:rsidR="00941389" w:rsidRPr="00A82E4B" w:rsidRDefault="00941389" w:rsidP="00A82E4B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bCs/>
          <w:szCs w:val="23"/>
          <w:u w:val="single"/>
        </w:rPr>
      </w:pPr>
      <w:r w:rsidRPr="00A82E4B">
        <w:rPr>
          <w:rFonts w:asciiTheme="minorHAnsi" w:eastAsia="Arial" w:hAnsiTheme="minorHAnsi" w:cstheme="minorHAnsi"/>
          <w:kern w:val="0"/>
          <w:szCs w:val="23"/>
          <w:lang w:eastAsia="pl-PL" w:bidi="ar-SA"/>
        </w:rPr>
        <w:t>Wizyta kontrolna zwykle po około 2 – 3 tygodniach po zabiegu (termin należy ustalić w rejestracji)</w:t>
      </w:r>
    </w:p>
    <w:p w14:paraId="64E0D733" w14:textId="77777777" w:rsidR="00A82E4B" w:rsidRPr="00A82E4B" w:rsidRDefault="00A82E4B" w:rsidP="00A82E4B">
      <w:pPr>
        <w:spacing w:line="360" w:lineRule="auto"/>
        <w:ind w:left="360"/>
        <w:jc w:val="both"/>
        <w:rPr>
          <w:rFonts w:asciiTheme="minorHAnsi" w:hAnsiTheme="minorHAnsi" w:cstheme="minorHAnsi"/>
          <w:bCs/>
          <w:u w:val="single"/>
        </w:rPr>
      </w:pPr>
    </w:p>
    <w:p w14:paraId="7B01CD1C" w14:textId="77777777" w:rsidR="00941389" w:rsidRPr="00A82E4B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szCs w:val="23"/>
          <w:u w:val="single"/>
        </w:rPr>
      </w:pPr>
      <w:r w:rsidRPr="00A82E4B">
        <w:rPr>
          <w:rFonts w:asciiTheme="minorHAnsi" w:hAnsiTheme="minorHAnsi" w:cstheme="minorHAnsi"/>
          <w:bCs/>
          <w:szCs w:val="23"/>
          <w:u w:val="single"/>
        </w:rPr>
        <w:t>Oświadczenie pacjenta</w:t>
      </w:r>
    </w:p>
    <w:p w14:paraId="0F26B378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 xml:space="preserve">Oświadczam, iż zapoznałem/łam* się z treścią niniejszego formularza oraz zostałem/łam* poinformowany/na* przez</w:t>
      </w:r>
      <w:r w:rsidRPr="00A82E4B">
        <w:rPr>
          <w:rFonts w:ascii="Calibri" w:hAnsi="Calibri" w:cs="Calibri"/>
          <w:bCs/>
        </w:rPr>
        <w:t xml:space="preserve">   </w:t>
      </w:r>
      <w:r w:rsidRPr="00A82E4B">
        <w:rPr>
          <w:rFonts w:asciiTheme="minorHAnsi" w:hAnsiTheme="minorHAnsi" w:cstheme="minorHAnsi"/>
          <w:bCs/>
        </w:rPr>
        <w:t xml:space="preserve">lekarza prowadzącego o proponowanym rodzaju leczenia. Oświadczam, iż miałem/łam* możliwość zadawania pytań dotyczących proponowanego leczenia i otrzymałem/łam* na nie wyczerpujące odpowiedzi.</w:t>
      </w:r>
    </w:p>
    <w:p w14:paraId="5ABFC5A7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0A0E8751" w14:textId="77777777" w:rsidR="00941389" w:rsidRPr="00A82E4B" w:rsidRDefault="00941389" w:rsidP="00A82E4B">
      <w:pPr>
        <w:spacing w:line="360" w:lineRule="auto"/>
        <w:jc w:val="left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 xml:space="preserve">Data i czytelny podpis pacjenta:</w:t>
      </w:r>
      <w:r w:rsidRPr="00A82E4B">
        <w:rPr>
          <w:rFonts w:ascii="Calibri" w:hAnsi="Calibri" w:cs="Calibri"/>
          <w:bCs/>
        </w:rPr>
        <w:t xml:space="preserve"> ……………………………………………………………………………………………..</w:t>
      </w:r>
    </w:p>
    <w:p w14:paraId="6A69D443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79010420" w14:textId="38B7891F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>Wyrażam zgodę na przeprowadzenie proponowanego zabiegu.</w:t>
      </w:r>
    </w:p>
    <w:p w14:paraId="37082E25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FDF1848" w14:textId="6233B5D1" w:rsidR="00941389" w:rsidRPr="00A82E4B" w:rsidRDefault="00941389" w:rsidP="00A82E4B">
      <w:pPr>
        <w:spacing w:line="360" w:lineRule="auto"/>
        <w:jc w:val="left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 xml:space="preserve">Data i czytelny podpis pacjenta:</w:t>
      </w:r>
      <w:r w:rsidRPr="00A82E4B">
        <w:rPr>
          <w:rFonts w:ascii="Calibri" w:hAnsi="Calibri" w:cs="Calibri"/>
          <w:bCs/>
        </w:rPr>
        <w:t xml:space="preserve"> ……………………………………………………………………………………………</w:t>
      </w:r>
      <w:r w:rsidR="00A82E4B" w:rsidRPr="00A82E4B">
        <w:rPr>
          <w:rFonts w:asciiTheme="minorHAnsi" w:hAnsiTheme="minorHAnsi" w:cstheme="minorHAnsi"/>
          <w:bCs/>
        </w:rPr>
        <w:t>..</w:t>
      </w:r>
    </w:p>
    <w:p w14:paraId="26E53FAF" w14:textId="77777777" w:rsidR="00941389" w:rsidRPr="00EF7853" w:rsidRDefault="00941389" w:rsidP="00941389">
      <w:pPr>
        <w:rPr>
          <w:rFonts w:asciiTheme="minorHAnsi" w:hAnsiTheme="minorHAnsi" w:cstheme="minorHAnsi"/>
        </w:rPr>
      </w:pPr>
    </w:p>
    <w:sectPr w:rsidR="00941389" w:rsidRPr="00EF7853" w:rsidSect="00EF7853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282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3CFF" w14:textId="77777777" w:rsidR="00B97CB2" w:rsidRDefault="00B97CB2">
      <w:r>
        <w:separator/>
      </w:r>
    </w:p>
  </w:endnote>
  <w:endnote w:type="continuationSeparator" w:id="0">
    <w:p w14:paraId="32E5B646" w14:textId="77777777" w:rsidR="00B97CB2" w:rsidRDefault="00B9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1E84" w14:textId="77777777" w:rsidR="00B97CB2" w:rsidRDefault="00B97CB2">
      <w:r>
        <w:separator/>
      </w:r>
    </w:p>
  </w:footnote>
  <w:footnote w:type="continuationSeparator" w:id="0">
    <w:p w14:paraId="7BDE6FBB" w14:textId="77777777" w:rsidR="00B97CB2" w:rsidRDefault="00B97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5312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B076D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044E9D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910717"/>
    <w:multiLevelType w:val="hybridMultilevel"/>
    <w:tmpl w:val="3E3CF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5270D"/>
    <w:multiLevelType w:val="multilevel"/>
    <w:tmpl w:val="92461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711E8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4E7938"/>
    <w:multiLevelType w:val="multilevel"/>
    <w:tmpl w:val="6C4AB8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19B3B1F"/>
    <w:multiLevelType w:val="multilevel"/>
    <w:tmpl w:val="9B908B0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  <w:rPr>
        <w:b/>
        <w:bCs/>
      </w:rPr>
    </w:lvl>
  </w:abstractNum>
  <w:abstractNum w:abstractNumId="8" w15:restartNumberingAfterBreak="0">
    <w:nsid w:val="673812B8"/>
    <w:multiLevelType w:val="multilevel"/>
    <w:tmpl w:val="C09CAA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9" w15:restartNumberingAfterBreak="0">
    <w:nsid w:val="6C1C2DB7"/>
    <w:multiLevelType w:val="multilevel"/>
    <w:tmpl w:val="F1EC95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0" w15:restartNumberingAfterBreak="0">
    <w:nsid w:val="78040A54"/>
    <w:multiLevelType w:val="multilevel"/>
    <w:tmpl w:val="E370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6127429">
    <w:abstractNumId w:val="8"/>
  </w:num>
  <w:num w:numId="2" w16cid:durableId="1763379745">
    <w:abstractNumId w:val="7"/>
  </w:num>
  <w:num w:numId="3" w16cid:durableId="439104790">
    <w:abstractNumId w:val="9"/>
  </w:num>
  <w:num w:numId="4" w16cid:durableId="822047460">
    <w:abstractNumId w:val="6"/>
  </w:num>
  <w:num w:numId="5" w16cid:durableId="618143339">
    <w:abstractNumId w:val="3"/>
  </w:num>
  <w:num w:numId="6" w16cid:durableId="1007446070">
    <w:abstractNumId w:val="10"/>
  </w:num>
  <w:num w:numId="7" w16cid:durableId="447430830">
    <w:abstractNumId w:val="2"/>
  </w:num>
  <w:num w:numId="8" w16cid:durableId="709190003">
    <w:abstractNumId w:val="0"/>
  </w:num>
  <w:num w:numId="9" w16cid:durableId="254049324">
    <w:abstractNumId w:val="5"/>
  </w:num>
  <w:num w:numId="10" w16cid:durableId="1958413039">
    <w:abstractNumId w:val="4"/>
  </w:num>
  <w:num w:numId="11" w16cid:durableId="156548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7F9"/>
    <w:rsid w:val="000471D4"/>
    <w:rsid w:val="006677F9"/>
    <w:rsid w:val="00877DFF"/>
    <w:rsid w:val="00941389"/>
    <w:rsid w:val="00A82E4B"/>
    <w:rsid w:val="00AA73E2"/>
    <w:rsid w:val="00B97CB2"/>
    <w:rsid w:val="00E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F7F1"/>
  <w15:docId w15:val="{34A62EAE-8BD3-4B10-9C64-6E66319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rFonts w:cs="OpenSymbol"/>
      <w:b w:val="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b/>
      <w:bCs/>
    </w:rPr>
  </w:style>
  <w:style w:type="character" w:customStyle="1" w:styleId="ListLabel11">
    <w:name w:val="ListLabel 11"/>
    <w:qFormat/>
    <w:rPr>
      <w:b/>
      <w:bCs/>
    </w:rPr>
  </w:style>
  <w:style w:type="character" w:customStyle="1" w:styleId="ListLabel12">
    <w:name w:val="ListLabel 12"/>
    <w:qFormat/>
    <w:rPr>
      <w:b/>
      <w:bCs/>
    </w:rPr>
  </w:style>
  <w:style w:type="character" w:customStyle="1" w:styleId="ListLabel13">
    <w:name w:val="ListLabel 13"/>
    <w:qFormat/>
    <w:rPr>
      <w:b/>
      <w:bCs/>
    </w:rPr>
  </w:style>
  <w:style w:type="character" w:customStyle="1" w:styleId="ListLabel14">
    <w:name w:val="ListLabel 14"/>
    <w:qFormat/>
    <w:rPr>
      <w:b/>
      <w:bCs/>
    </w:rPr>
  </w:style>
  <w:style w:type="character" w:customStyle="1" w:styleId="ListLabel15">
    <w:name w:val="ListLabel 15"/>
    <w:qFormat/>
    <w:rPr>
      <w:b/>
      <w:bCs/>
    </w:rPr>
  </w:style>
  <w:style w:type="character" w:customStyle="1" w:styleId="ListLabel16">
    <w:name w:val="ListLabel 16"/>
    <w:qFormat/>
    <w:rPr>
      <w:b/>
      <w:bCs/>
    </w:rPr>
  </w:style>
  <w:style w:type="character" w:customStyle="1" w:styleId="ListLabel17">
    <w:name w:val="ListLabel 17"/>
    <w:qFormat/>
    <w:rPr>
      <w:b/>
      <w:bCs/>
    </w:rPr>
  </w:style>
  <w:style w:type="character" w:customStyle="1" w:styleId="ListLabel18">
    <w:name w:val="ListLabel 18"/>
    <w:qFormat/>
    <w:rPr>
      <w:b/>
      <w:bCs/>
    </w:rPr>
  </w:style>
  <w:style w:type="character" w:customStyle="1" w:styleId="ListLabel19">
    <w:name w:val="ListLabel 19"/>
    <w:qFormat/>
    <w:rPr>
      <w:rFonts w:cs="OpenSymbol"/>
      <w:b w:val="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  <w:b w:val="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b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paragraph" w:styleId="NormalnyWeb">
    <w:name w:val="Normal (Web)"/>
    <w:basedOn w:val="Normalny"/>
    <w:uiPriority w:val="99"/>
    <w:semiHidden/>
    <w:unhideWhenUsed/>
    <w:rsid w:val="00941389"/>
    <w:pPr>
      <w:suppressAutoHyphens w:val="0"/>
    </w:pPr>
    <w:rPr>
      <w:rFonts w:ascii="Arial" w:eastAsia="Arial" w:hAnsi="Arial" w:cs="Arial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1510</TotalTime>
  <Pages>4</Pages>
  <Words>903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226</cp:revision>
  <cp:lastPrinted>2023-07-21T12:45:00Z</cp:lastPrinted>
  <dcterms:created xsi:type="dcterms:W3CDTF">2022-08-31T11:22:00Z</dcterms:created>
  <dcterms:modified xsi:type="dcterms:W3CDTF">2026-01-14T16:39:00Z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