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DF3E0" w14:textId="77777777" w:rsidR="00AB7252" w:rsidRDefault="00AB7252">
      <w:pPr>
        <w:spacing w:line="360" w:lineRule="auto"/>
        <w:jc w:val="both"/>
      </w:pPr>
    </w:p>
    <w:p w14:paraId="77B1C17F" w14:textId="7A6399AF" w:rsidR="00AB7252" w:rsidRPr="002D0799" w:rsidRDefault="005909F9">
      <w:pPr>
        <w:spacing w:line="360" w:lineRule="auto"/>
        <w:jc w:val="left"/>
        <w:rPr>
          <w:rFonts w:asciiTheme="minorHAnsi" w:hAnsiTheme="minorHAnsi" w:cstheme="minorHAnsi"/>
        </w:rPr>
      </w:pPr>
      <w:r w:rsidRPr="002D0799">
        <w:rPr>
          <w:rFonts w:asciiTheme="minorHAnsi" w:hAnsiTheme="minorHAnsi" w:cstheme="minorHAnsi"/>
        </w:rPr>
        <w:t>Imię</w:t>
      </w:r>
      <w:r w:rsidR="00ED1294" w:rsidRPr="002D0799">
        <w:rPr>
          <w:rFonts w:asciiTheme="minorHAnsi" w:hAnsiTheme="minorHAnsi" w:cstheme="minorHAnsi"/>
        </w:rPr>
        <w:t xml:space="preserve"> </w:t>
      </w:r>
      <w:r w:rsidRPr="002D0799">
        <w:rPr>
          <w:rFonts w:asciiTheme="minorHAnsi" w:hAnsiTheme="minorHAnsi" w:cstheme="minorHAnsi"/>
        </w:rPr>
        <w:t>i nazwisko Pacjenta:</w:t>
      </w:r>
      <w:r w:rsidR="002D0799">
        <w:rPr>
          <w:rFonts w:asciiTheme="minorHAnsi" w:hAnsiTheme="minorHAnsi" w:cstheme="minorHAnsi"/>
        </w:rPr>
        <w:t xml:space="preserve"> </w:t>
      </w:r>
      <w:r w:rsidRPr="002D0799">
        <w:rPr>
          <w:rFonts w:ascii="Calibri" w:hAnsi="Calibri" w:cs="Calibri"/>
        </w:rPr>
        <w:t xml:space="preserve">………………………………………………………………………</w:t>
      </w:r>
      <w:r w:rsidR="002D0799">
        <w:rPr>
          <w:rFonts w:ascii="Calibri" w:hAnsi="Calibri" w:cs="Calibri"/>
        </w:rPr>
        <w:t xml:space="preserve">…………………………….</w:t>
      </w:r>
    </w:p>
    <w:p w14:paraId="79591F44" w14:textId="77777777" w:rsidR="00AB7252" w:rsidRPr="002D0799" w:rsidRDefault="00AB7252">
      <w:pPr>
        <w:spacing w:line="360" w:lineRule="auto"/>
        <w:jc w:val="both"/>
        <w:rPr>
          <w:rFonts w:asciiTheme="minorHAnsi" w:hAnsiTheme="minorHAnsi" w:cstheme="minorHAnsi"/>
        </w:rPr>
      </w:pPr>
    </w:p>
    <w:p w14:paraId="6B1176E6" w14:textId="257AFDB4" w:rsidR="00AB7252" w:rsidRDefault="005909F9">
      <w:pPr>
        <w:spacing w:line="360" w:lineRule="auto"/>
        <w:jc w:val="left"/>
        <w:rPr>
          <w:rFonts w:asciiTheme="minorHAnsi" w:hAnsiTheme="minorHAnsi" w:cstheme="minorHAnsi"/>
        </w:rPr>
      </w:pPr>
      <w:r w:rsidRPr="002D0799">
        <w:rPr>
          <w:rFonts w:asciiTheme="minorHAnsi" w:hAnsiTheme="minorHAnsi" w:cstheme="minorHAnsi"/>
        </w:rPr>
        <w:t>PESEL/Data urodzenia:</w:t>
      </w:r>
      <w:r w:rsidR="002D0799">
        <w:rPr>
          <w:rFonts w:asciiTheme="minorHAnsi" w:hAnsiTheme="minorHAnsi" w:cstheme="minorHAnsi"/>
        </w:rPr>
        <w:t xml:space="preserve"> </w:t>
      </w:r>
      <w:r w:rsidRPr="002D0799">
        <w:rPr>
          <w:rFonts w:ascii="Calibri" w:hAnsi="Calibri" w:cs="Calibri"/>
        </w:rPr>
        <w:t xml:space="preserve">…............................……………………………………………………</w:t>
      </w:r>
      <w:r w:rsidR="002D0799">
        <w:rPr>
          <w:rFonts w:ascii="Calibri" w:hAnsi="Calibri" w:cs="Calibri"/>
        </w:rPr>
        <w:t xml:space="preserve">…………………….</w:t>
      </w:r>
    </w:p>
    <w:p w14:paraId="4E16539A" w14:textId="77777777" w:rsidR="002D0799" w:rsidRPr="002D0799" w:rsidRDefault="002D0799">
      <w:pPr>
        <w:spacing w:line="360" w:lineRule="auto"/>
        <w:jc w:val="both"/>
        <w:rPr>
          <w:rFonts w:asciiTheme="minorHAnsi" w:hAnsiTheme="minorHAnsi" w:cstheme="minorHAnsi"/>
        </w:rPr>
      </w:pPr>
    </w:p>
    <w:p w14:paraId="6A7F9100" w14:textId="21C00CA9" w:rsidR="00AB7252" w:rsidRDefault="002D0799" w:rsidP="00D821C8">
      <w:pPr>
        <w:spacing w:line="360" w:lineRule="auto"/>
        <w:jc w:val="both"/>
        <w:rPr>
          <w:rFonts w:asciiTheme="minorHAnsi" w:hAnsiTheme="minorHAnsi" w:cstheme="minorHAnsi"/>
          <w:b/>
          <w:sz w:val="27"/>
          <w:szCs w:val="27"/>
        </w:rPr>
      </w:pPr>
      <w:r w:rsidRPr="002D0799">
        <w:rPr>
          <w:rFonts w:asciiTheme="minorHAnsi" w:hAnsiTheme="minorHAnsi" w:cstheme="minorHAnsi"/>
          <w:b/>
          <w:sz w:val="27"/>
          <w:szCs w:val="27"/>
        </w:rPr>
        <w:t>Zgodę na operacj</w:t>
      </w:r>
      <w:r w:rsidR="00FA2C27">
        <w:rPr>
          <w:rFonts w:asciiTheme="minorHAnsi" w:hAnsiTheme="minorHAnsi" w:cstheme="minorHAnsi"/>
          <w:b/>
          <w:sz w:val="27"/>
          <w:szCs w:val="27"/>
        </w:rPr>
        <w:t>ę</w:t>
      </w:r>
      <w:r w:rsidRPr="002D0799">
        <w:rPr>
          <w:rFonts w:asciiTheme="minorHAnsi" w:hAnsiTheme="minorHAnsi" w:cstheme="minorHAnsi"/>
          <w:b/>
          <w:sz w:val="27"/>
          <w:szCs w:val="27"/>
        </w:rPr>
        <w:t xml:space="preserve"> żylaków kończyn dolnych metodą ablacji termicznej za pomocą prądu o częstotliwości fal radiowych (RFITT) aparatem CELON</w:t>
      </w:r>
    </w:p>
    <w:p w14:paraId="0B7A9088" w14:textId="77777777" w:rsidR="002D0799" w:rsidRPr="002D0799" w:rsidRDefault="002D0799" w:rsidP="002D0799">
      <w:pPr>
        <w:spacing w:line="360" w:lineRule="auto"/>
        <w:jc w:val="center"/>
        <w:rPr>
          <w:rFonts w:asciiTheme="minorHAnsi" w:hAnsiTheme="minorHAnsi" w:cstheme="minorHAnsi"/>
          <w:bCs/>
        </w:rPr>
      </w:pPr>
    </w:p>
    <w:p w14:paraId="4FD2ADF7" w14:textId="0361E13D" w:rsidR="002D0799" w:rsidRPr="002D0799" w:rsidRDefault="002D0799" w:rsidP="002D0799">
      <w:pPr>
        <w:pStyle w:val="Akapitzlist"/>
        <w:numPr>
          <w:ilvl w:val="0"/>
          <w:numId w:val="8"/>
        </w:numPr>
        <w:spacing w:line="360" w:lineRule="auto"/>
        <w:rPr>
          <w:rFonts w:asciiTheme="minorHAnsi" w:hAnsiTheme="minorHAnsi" w:cstheme="minorHAnsi"/>
          <w:bCs/>
          <w:szCs w:val="23"/>
        </w:rPr>
      </w:pPr>
      <w:r w:rsidRPr="002D0799">
        <w:rPr>
          <w:rFonts w:asciiTheme="minorHAnsi" w:hAnsiTheme="minorHAnsi" w:cstheme="minorHAnsi"/>
          <w:bCs/>
          <w:szCs w:val="23"/>
          <w:u w:val="single"/>
        </w:rPr>
        <w:t>Opis choroby będącej powodem zgłoszenia się pacjenta</w:t>
      </w:r>
    </w:p>
    <w:p w14:paraId="274AD906" w14:textId="77777777" w:rsidR="002D0799" w:rsidRPr="002D0799" w:rsidRDefault="002D0799" w:rsidP="005909F9">
      <w:pPr>
        <w:suppressAutoHyphens w:val="0"/>
        <w:jc w:val="both"/>
        <w:rPr>
          <w:rFonts w:asciiTheme="minorHAnsi" w:eastAsia="Arial" w:hAnsiTheme="minorHAnsi" w:cstheme="minorHAnsi"/>
          <w:bCs/>
          <w:kern w:val="0"/>
          <w:lang w:eastAsia="pl-PL" w:bidi="ar-SA"/>
        </w:rPr>
      </w:pPr>
      <w:r w:rsidRPr="002D0799">
        <w:rPr>
          <w:rFonts w:asciiTheme="minorHAnsi" w:eastAsia="Arial" w:hAnsiTheme="minorHAnsi" w:cstheme="minorHAnsi"/>
          <w:bCs/>
          <w:kern w:val="0"/>
          <w:lang w:eastAsia="pl-PL" w:bidi="ar-SA"/>
        </w:rPr>
        <w:t>Stwierdzono u Pana/Pani żylaki kończyn dolnych.</w:t>
      </w:r>
    </w:p>
    <w:p w14:paraId="7D748E7F" w14:textId="77777777" w:rsidR="002D0799" w:rsidRPr="002D0799" w:rsidRDefault="002D0799" w:rsidP="005909F9">
      <w:pPr>
        <w:suppressAutoHyphens w:val="0"/>
        <w:jc w:val="both"/>
        <w:rPr>
          <w:rFonts w:asciiTheme="minorHAnsi" w:eastAsia="Arial" w:hAnsiTheme="minorHAnsi" w:cstheme="minorHAnsi"/>
          <w:bCs/>
          <w:kern w:val="0"/>
          <w:lang w:eastAsia="pl-PL" w:bidi="ar-SA"/>
        </w:rPr>
      </w:pPr>
      <w:r w:rsidRPr="002D0799">
        <w:rPr>
          <w:rFonts w:asciiTheme="minorHAnsi" w:eastAsia="Arial" w:hAnsiTheme="minorHAnsi" w:cstheme="minorHAnsi"/>
          <w:bCs/>
          <w:kern w:val="0"/>
          <w:lang w:eastAsia="pl-PL" w:bidi="ar-SA"/>
        </w:rPr>
        <w:t>Żylakami nazywamy trwałe, ograniczone rozszerzenia żył powierzchownych, które przyjmują postać widocznych pod skórą balonowatych uwypukleń. Żylaki kończyn dolnych należą do najbardziej rozpowszechnionych chorób wśród osób dorosłych. Ocenia się, że żylakami kończyn dolnych jest dotkniętych 20-50% dorosłej populacji.</w:t>
      </w:r>
    </w:p>
    <w:p w14:paraId="7B8B9DBC" w14:textId="77777777" w:rsidR="002D0799" w:rsidRPr="002D0799" w:rsidRDefault="002D0799" w:rsidP="005909F9">
      <w:pPr>
        <w:suppressAutoHyphens w:val="0"/>
        <w:jc w:val="both"/>
        <w:rPr>
          <w:rFonts w:asciiTheme="minorHAnsi" w:eastAsia="Arial" w:hAnsiTheme="minorHAnsi" w:cstheme="minorHAnsi"/>
          <w:bCs/>
          <w:kern w:val="0"/>
          <w:lang w:eastAsia="pl-PL" w:bidi="ar-SA"/>
        </w:rPr>
      </w:pPr>
      <w:r w:rsidRPr="002D0799">
        <w:rPr>
          <w:rFonts w:asciiTheme="minorHAnsi" w:eastAsia="Arial" w:hAnsiTheme="minorHAnsi" w:cstheme="minorHAnsi"/>
          <w:bCs/>
          <w:kern w:val="0"/>
          <w:lang w:eastAsia="pl-PL" w:bidi="ar-SA"/>
        </w:rPr>
        <w:t>Przyczyny powstawania żylaków kończyn dolnych nie zostały do końca wyjaśnione. Przyjmuje się, że etiopatogeneza żylaków jest wieloczynnikowa a najważniejszą rolę w ich powstawaniu i powiększaniu się odgrywa niewydolność zastawek żylnych oraz wrodzone lub nabyte osłabienie ściany żył, wywołane zmniejszeniem ilości elementów podporowych.</w:t>
      </w:r>
    </w:p>
    <w:p w14:paraId="362F4263" w14:textId="77777777" w:rsidR="002D0799" w:rsidRPr="002D0799" w:rsidRDefault="002D0799" w:rsidP="005909F9">
      <w:pPr>
        <w:suppressAutoHyphens w:val="0"/>
        <w:jc w:val="both"/>
        <w:rPr>
          <w:rFonts w:asciiTheme="minorHAnsi" w:eastAsia="Arial" w:hAnsiTheme="minorHAnsi" w:cstheme="minorHAnsi"/>
          <w:bCs/>
          <w:kern w:val="0"/>
          <w:lang w:eastAsia="pl-PL" w:bidi="ar-SA"/>
        </w:rPr>
      </w:pPr>
      <w:r w:rsidRPr="002D0799">
        <w:rPr>
          <w:rFonts w:asciiTheme="minorHAnsi" w:eastAsia="Arial" w:hAnsiTheme="minorHAnsi" w:cstheme="minorHAnsi"/>
          <w:bCs/>
          <w:kern w:val="0"/>
          <w:lang w:eastAsia="pl-PL" w:bidi="ar-SA"/>
        </w:rPr>
        <w:t>Żylaki powstają w wyniku zaburzenia równowagi między ciśnieniem krwi jakie panuje w żyłach powierzchownych a wytrzymałością ich ściany. Powstawaniu i powiększaniu się żylaków sprzyja długotrwałe przebywanie w pozycji stojącej lub siedzącej, przebyta zakrzepica żył powierzchownych i/lub głębokich, liczne ciąże, podeszły wiek, zaparcia, uporczywy kaszel, otyłość.</w:t>
      </w:r>
    </w:p>
    <w:p w14:paraId="4E12AB01" w14:textId="77777777" w:rsidR="002D0799" w:rsidRPr="002D0799" w:rsidRDefault="002D0799" w:rsidP="005909F9">
      <w:pPr>
        <w:suppressAutoHyphens w:val="0"/>
        <w:jc w:val="both"/>
        <w:rPr>
          <w:rFonts w:asciiTheme="minorHAnsi" w:eastAsia="Arial" w:hAnsiTheme="minorHAnsi" w:cstheme="minorHAnsi"/>
          <w:bCs/>
          <w:kern w:val="0"/>
          <w:lang w:eastAsia="pl-PL" w:bidi="ar-SA"/>
        </w:rPr>
      </w:pPr>
      <w:r w:rsidRPr="002D0799">
        <w:rPr>
          <w:rFonts w:asciiTheme="minorHAnsi" w:eastAsia="Arial" w:hAnsiTheme="minorHAnsi" w:cstheme="minorHAnsi"/>
          <w:bCs/>
          <w:kern w:val="0"/>
          <w:lang w:eastAsia="pl-PL" w:bidi="ar-SA"/>
        </w:rPr>
        <w:t xml:space="preserve">Niewielkie żylaki w początkowym okresie choroby nie wywołują żadnych dolegliwości, a chorzy zgłaszają się do chirurga jedynie z powodów estetycznych. </w:t>
      </w:r>
    </w:p>
    <w:p w14:paraId="3D371370" w14:textId="77777777" w:rsidR="002D0799" w:rsidRPr="002D0799" w:rsidRDefault="002D0799" w:rsidP="005909F9">
      <w:pPr>
        <w:suppressAutoHyphens w:val="0"/>
        <w:jc w:val="both"/>
        <w:rPr>
          <w:rFonts w:asciiTheme="minorHAnsi" w:eastAsia="Arial" w:hAnsiTheme="minorHAnsi" w:cstheme="minorHAnsi"/>
          <w:bCs/>
          <w:kern w:val="0"/>
          <w:lang w:eastAsia="pl-PL" w:bidi="ar-SA"/>
        </w:rPr>
      </w:pPr>
      <w:r w:rsidRPr="002D0799">
        <w:rPr>
          <w:rFonts w:asciiTheme="minorHAnsi" w:eastAsia="Arial" w:hAnsiTheme="minorHAnsi" w:cstheme="minorHAnsi"/>
          <w:bCs/>
          <w:kern w:val="0"/>
          <w:lang w:eastAsia="pl-PL" w:bidi="ar-SA"/>
        </w:rPr>
        <w:t>W miarę postępu choroby pojawiają się: uczucie ciężkości i zmęczenia nóg, obrzęki stóp i goleni, bóle kończyn, przebarwienia skóry i owrzodzenia podudzi.</w:t>
      </w:r>
    </w:p>
    <w:p w14:paraId="04F193DF" w14:textId="77777777" w:rsidR="002D0799" w:rsidRPr="002D0799" w:rsidRDefault="002D0799" w:rsidP="005909F9">
      <w:pPr>
        <w:suppressAutoHyphens w:val="0"/>
        <w:jc w:val="both"/>
        <w:rPr>
          <w:rFonts w:asciiTheme="minorHAnsi" w:eastAsia="Arial" w:hAnsiTheme="minorHAnsi" w:cstheme="minorHAnsi"/>
          <w:bCs/>
          <w:kern w:val="0"/>
          <w:lang w:eastAsia="pl-PL" w:bidi="ar-SA"/>
        </w:rPr>
      </w:pPr>
      <w:r w:rsidRPr="002D0799">
        <w:rPr>
          <w:rFonts w:asciiTheme="minorHAnsi" w:eastAsia="Arial" w:hAnsiTheme="minorHAnsi" w:cstheme="minorHAnsi"/>
          <w:bCs/>
          <w:kern w:val="0"/>
          <w:lang w:eastAsia="pl-PL" w:bidi="ar-SA"/>
        </w:rPr>
        <w:t xml:space="preserve">Następstwem nieleczonych żylaków kończyn dolnych jest zwykle przewlekła niewydolność żylna, mogąca doprowadzić do powstania znacznych obrzęków, zmian troficznych i owrzodzeń żylnych. </w:t>
      </w:r>
    </w:p>
    <w:p w14:paraId="42ED7109" w14:textId="42C27FDE" w:rsidR="002D0799" w:rsidRDefault="002D0799" w:rsidP="005909F9">
      <w:pPr>
        <w:spacing w:line="360" w:lineRule="auto"/>
        <w:jc w:val="both"/>
        <w:rPr>
          <w:rFonts w:asciiTheme="minorHAnsi" w:eastAsia="Arial" w:hAnsiTheme="minorHAnsi" w:cstheme="minorHAnsi"/>
          <w:bCs/>
          <w:kern w:val="0"/>
          <w:lang w:eastAsia="pl-PL" w:bidi="ar-SA"/>
        </w:rPr>
      </w:pPr>
      <w:r w:rsidRPr="002D0799">
        <w:rPr>
          <w:rFonts w:asciiTheme="minorHAnsi" w:eastAsia="Arial" w:hAnsiTheme="minorHAnsi" w:cstheme="minorHAnsi"/>
          <w:bCs/>
          <w:kern w:val="0"/>
          <w:lang w:eastAsia="pl-PL" w:bidi="ar-SA"/>
        </w:rPr>
        <w:t>Stwierdzone u Pana/Pani żylaki kończyn dolnych są wskazaniem do leczenia operacyjnego.</w:t>
      </w:r>
    </w:p>
    <w:p w14:paraId="250541AA" w14:textId="77777777" w:rsidR="005909F9" w:rsidRPr="002D0799" w:rsidRDefault="005909F9" w:rsidP="002D0799">
      <w:pPr>
        <w:spacing w:line="360" w:lineRule="auto"/>
        <w:rPr>
          <w:rFonts w:asciiTheme="minorHAnsi" w:eastAsia="Arial" w:hAnsiTheme="minorHAnsi" w:cstheme="minorHAnsi"/>
          <w:bCs/>
          <w:kern w:val="0"/>
          <w:lang w:eastAsia="pl-PL" w:bidi="ar-SA"/>
        </w:rPr>
      </w:pPr>
    </w:p>
    <w:p w14:paraId="307DF4B6" w14:textId="5D0A9E26" w:rsidR="002D0799" w:rsidRPr="002D0799" w:rsidRDefault="002D0799" w:rsidP="002D0799">
      <w:pPr>
        <w:pStyle w:val="Akapitzlist"/>
        <w:numPr>
          <w:ilvl w:val="0"/>
          <w:numId w:val="8"/>
        </w:numPr>
        <w:spacing w:line="360" w:lineRule="auto"/>
        <w:rPr>
          <w:rFonts w:asciiTheme="minorHAnsi" w:hAnsiTheme="minorHAnsi" w:cstheme="minorHAnsi"/>
          <w:bCs/>
          <w:szCs w:val="23"/>
        </w:rPr>
      </w:pPr>
      <w:r w:rsidRPr="002D0799">
        <w:rPr>
          <w:rFonts w:asciiTheme="minorHAnsi" w:hAnsiTheme="minorHAnsi" w:cstheme="minorHAnsi"/>
          <w:bCs/>
          <w:szCs w:val="23"/>
          <w:u w:val="single"/>
        </w:rPr>
        <w:t>Opis przebiegu proponowanej procedury medycznej (operacji)</w:t>
      </w:r>
    </w:p>
    <w:p w14:paraId="39270450" w14:textId="31B961F2" w:rsidR="002D0799" w:rsidRDefault="002D0799" w:rsidP="005909F9">
      <w:pPr>
        <w:spacing w:line="360" w:lineRule="auto"/>
        <w:jc w:val="both"/>
        <w:rPr>
          <w:rFonts w:asciiTheme="minorHAnsi" w:hAnsiTheme="minorHAnsi" w:cstheme="minorHAnsi"/>
          <w:bCs/>
        </w:rPr>
      </w:pPr>
      <w:r w:rsidRPr="002D0799">
        <w:rPr>
          <w:rFonts w:asciiTheme="minorHAnsi" w:hAnsiTheme="minorHAnsi" w:cstheme="minorHAnsi"/>
          <w:bCs/>
        </w:rPr>
        <w:t xml:space="preserve">Metoda ablacji termicznej (RFITT) wykonywana aparatem CELON jest obecnie jedną z najnowocześniejszych i najbezpieczniejszych metod zamykania niewydolnych żył kończyn dolnych. Ideą tej metody jest małoinwazyjne, wewnątrznaczyniowe obkurczenie dużych pni </w:t>
      </w:r>
      <w:r w:rsidRPr="002D0799">
        <w:rPr>
          <w:rFonts w:asciiTheme="minorHAnsi" w:hAnsiTheme="minorHAnsi" w:cstheme="minorHAnsi"/>
          <w:bCs/>
        </w:rPr>
        <w:lastRenderedPageBreak/>
        <w:t xml:space="preserve">żylnych prądem o częstotliwości fal radiowych. Brak przepływu w głównych naczyniach żylnych prowadzi do zamknięcia żylaków lub ich znacznego zmniejszenia. Czasami zabieg ten musi być uzupełniony o tzw. </w:t>
      </w:r>
      <w:r>
        <w:rPr>
          <w:rFonts w:asciiTheme="minorHAnsi" w:hAnsiTheme="minorHAnsi" w:cstheme="minorHAnsi"/>
          <w:bCs/>
        </w:rPr>
        <w:t>s</w:t>
      </w:r>
      <w:r w:rsidRPr="002D0799">
        <w:rPr>
          <w:rFonts w:asciiTheme="minorHAnsi" w:hAnsiTheme="minorHAnsi" w:cstheme="minorHAnsi"/>
          <w:bCs/>
        </w:rPr>
        <w:t>kleroterapię</w:t>
      </w:r>
      <w:r>
        <w:rPr>
          <w:rFonts w:asciiTheme="minorHAnsi" w:hAnsiTheme="minorHAnsi" w:cstheme="minorHAnsi"/>
          <w:bCs/>
        </w:rPr>
        <w:t>,</w:t>
      </w:r>
      <w:r w:rsidRPr="002D0799">
        <w:rPr>
          <w:rFonts w:asciiTheme="minorHAnsi" w:hAnsiTheme="minorHAnsi" w:cstheme="minorHAnsi"/>
          <w:bCs/>
        </w:rPr>
        <w:t xml:space="preserve"> czyli ostrzyknięcie pozostałych po zabiegu żylaków preparatem zamykającym drobne żyły.</w:t>
      </w:r>
    </w:p>
    <w:p w14:paraId="42A5BA10" w14:textId="77777777" w:rsidR="005909F9" w:rsidRDefault="005909F9" w:rsidP="002D0799">
      <w:pPr>
        <w:spacing w:line="360" w:lineRule="auto"/>
        <w:rPr>
          <w:rFonts w:asciiTheme="minorHAnsi" w:hAnsiTheme="minorHAnsi" w:cstheme="minorHAnsi"/>
          <w:bCs/>
        </w:rPr>
      </w:pPr>
    </w:p>
    <w:p w14:paraId="08DEB94D" w14:textId="6A3160F7" w:rsidR="002D0799" w:rsidRPr="002D0799" w:rsidRDefault="002D0799" w:rsidP="002D0799">
      <w:pPr>
        <w:pStyle w:val="Akapitzlist"/>
        <w:numPr>
          <w:ilvl w:val="0"/>
          <w:numId w:val="8"/>
        </w:numPr>
        <w:spacing w:line="360" w:lineRule="auto"/>
        <w:rPr>
          <w:rFonts w:asciiTheme="minorHAnsi" w:hAnsiTheme="minorHAnsi" w:cstheme="minorHAnsi"/>
          <w:bCs/>
        </w:rPr>
      </w:pPr>
      <w:r w:rsidRPr="002D0799">
        <w:rPr>
          <w:rFonts w:asciiTheme="minorHAnsi" w:hAnsiTheme="minorHAnsi" w:cstheme="minorHAnsi"/>
          <w:bCs/>
          <w:u w:val="single"/>
        </w:rPr>
        <w:t>Opis powikłań związanych z proponowaną procedurą medyczną</w:t>
      </w:r>
    </w:p>
    <w:p w14:paraId="4821B4F8" w14:textId="68909342" w:rsidR="002D0799" w:rsidRPr="002D0799" w:rsidRDefault="002D0799" w:rsidP="005909F9">
      <w:pPr>
        <w:spacing w:line="360" w:lineRule="auto"/>
        <w:jc w:val="both"/>
        <w:rPr>
          <w:rFonts w:asciiTheme="minorHAnsi" w:hAnsiTheme="minorHAnsi" w:cstheme="minorHAnsi"/>
          <w:bCs/>
        </w:rPr>
      </w:pPr>
      <w:r w:rsidRPr="002D0799">
        <w:rPr>
          <w:rFonts w:asciiTheme="minorHAnsi" w:hAnsiTheme="minorHAnsi" w:cstheme="minorHAnsi"/>
          <w:bCs/>
        </w:rPr>
        <w:t>Operacja żylaków kończyn dolnych może wiązać się z możliwym wystąpieniem wymienionych poniżej powikłań śródoperacyjnych i pooperacyjnych (wczesnych i późnych):</w:t>
      </w:r>
    </w:p>
    <w:p w14:paraId="7A0FCA2A" w14:textId="77777777" w:rsidR="002D0799" w:rsidRPr="002D0799" w:rsidRDefault="002D0799" w:rsidP="002D0799">
      <w:pPr>
        <w:suppressAutoHyphens w:val="0"/>
        <w:rPr>
          <w:rFonts w:ascii="Arial" w:eastAsia="Arial" w:hAnsi="Arial" w:cs="Arial"/>
          <w:vanish/>
          <w:kern w:val="0"/>
          <w:sz w:val="18"/>
          <w:szCs w:val="18"/>
          <w:lang w:eastAsia="pl-PL" w:bidi="ar-SA"/>
        </w:rPr>
      </w:pPr>
    </w:p>
    <w:tbl>
      <w:tblPr>
        <w:tblW w:w="10206" w:type="dxa"/>
        <w:tblBorders>
          <w:top w:val="single" w:sz="2" w:space="0" w:color="57524A"/>
          <w:left w:val="single" w:sz="2" w:space="0" w:color="57524A"/>
          <w:bottom w:val="single" w:sz="2" w:space="0" w:color="57524A"/>
          <w:right w:val="single" w:sz="2" w:space="0" w:color="57524A"/>
        </w:tblBorders>
        <w:shd w:val="clear" w:color="auto" w:fill="FFFFFF"/>
        <w:tblCellMar>
          <w:top w:w="15" w:type="dxa"/>
          <w:left w:w="15" w:type="dxa"/>
          <w:bottom w:w="15" w:type="dxa"/>
          <w:right w:w="15" w:type="dxa"/>
        </w:tblCellMar>
        <w:tblLook w:val="04A0" w:firstRow="1" w:lastRow="0" w:firstColumn="1" w:lastColumn="0" w:noHBand="0" w:noVBand="1"/>
      </w:tblPr>
      <w:tblGrid>
        <w:gridCol w:w="284"/>
        <w:gridCol w:w="9922"/>
      </w:tblGrid>
      <w:tr w:rsidR="002D0799" w:rsidRPr="002D0799" w14:paraId="26504FC8" w14:textId="77777777" w:rsidTr="005909F9">
        <w:tc>
          <w:tcPr>
            <w:tcW w:w="284" w:type="dxa"/>
            <w:tcBorders>
              <w:top w:val="single" w:sz="2" w:space="0" w:color="57524A"/>
              <w:left w:val="single" w:sz="2" w:space="0" w:color="57524A"/>
              <w:bottom w:val="single" w:sz="2" w:space="0" w:color="57524A"/>
              <w:right w:val="single" w:sz="2" w:space="0" w:color="57524A"/>
            </w:tcBorders>
            <w:shd w:val="clear" w:color="auto" w:fill="FFFFFF"/>
            <w:vAlign w:val="center"/>
            <w:hideMark/>
          </w:tcPr>
          <w:p w14:paraId="4ACB9C27" w14:textId="77777777" w:rsidR="002D0799" w:rsidRPr="002D0799" w:rsidRDefault="002D0799" w:rsidP="002D0799">
            <w:pPr>
              <w:suppressAutoHyphens w:val="0"/>
              <w:spacing w:line="240" w:lineRule="auto"/>
              <w:jc w:val="center"/>
              <w:rPr>
                <w:rFonts w:ascii="Arial" w:eastAsia="Arial" w:hAnsi="Arial" w:cs="Arial"/>
                <w:kern w:val="0"/>
                <w:lang w:eastAsia="pl-PL" w:bidi="ar-SA"/>
              </w:rPr>
            </w:pPr>
            <w:r w:rsidRPr="002D0799">
              <w:rPr>
                <w:rFonts w:ascii="Arial" w:eastAsia="Arial" w:hAnsi="Arial" w:cs="Arial"/>
                <w:kern w:val="0"/>
                <w:lang w:eastAsia="pl-PL" w:bidi="ar-SA"/>
              </w:rPr>
              <w:t>-</w:t>
            </w:r>
          </w:p>
        </w:tc>
        <w:tc>
          <w:tcPr>
            <w:tcW w:w="0" w:type="auto"/>
            <w:tcBorders>
              <w:top w:val="single" w:sz="2" w:space="0" w:color="57524A"/>
              <w:left w:val="single" w:sz="2" w:space="0" w:color="57524A"/>
              <w:bottom w:val="single" w:sz="2" w:space="0" w:color="57524A"/>
              <w:right w:val="single" w:sz="2" w:space="0" w:color="57524A"/>
            </w:tcBorders>
            <w:shd w:val="clear" w:color="auto" w:fill="FFFFFF"/>
            <w:vAlign w:val="center"/>
            <w:hideMark/>
          </w:tcPr>
          <w:p w14:paraId="0032576B" w14:textId="12098ECA" w:rsidR="005909F9" w:rsidRPr="002D0799" w:rsidRDefault="002D0799" w:rsidP="002D0799">
            <w:pPr>
              <w:suppressAutoHyphens w:val="0"/>
              <w:spacing w:line="240" w:lineRule="auto"/>
              <w:rPr>
                <w:rFonts w:ascii="Arial" w:eastAsia="Arial" w:hAnsi="Arial" w:cs="Arial"/>
                <w:kern w:val="0"/>
                <w:lang w:eastAsia="pl-PL" w:bidi="ar-SA"/>
              </w:rPr>
            </w:pPr>
            <w:r w:rsidRPr="002D0799">
              <w:rPr>
                <w:rFonts w:ascii="Arial" w:eastAsia="Arial" w:hAnsi="Arial" w:cs="Arial"/>
                <w:kern w:val="0"/>
                <w:lang w:eastAsia="pl-PL" w:bidi="ar-SA"/>
              </w:rPr>
              <w:t>zakrzepica żył głębokich</w:t>
            </w:r>
            <w:r w:rsidR="005909F9">
              <w:rPr>
                <w:rFonts w:ascii="Arial" w:eastAsia="Arial" w:hAnsi="Arial" w:cs="Arial"/>
                <w:kern w:val="0"/>
                <w:lang w:eastAsia="pl-PL" w:bidi="ar-SA"/>
              </w:rPr>
              <w:t xml:space="preserve"> - o</w:t>
            </w:r>
            <w:r w:rsidR="005909F9" w:rsidRPr="002D0799">
              <w:rPr>
                <w:rFonts w:ascii="Arial" w:eastAsia="Arial" w:hAnsi="Arial" w:cs="Arial"/>
                <w:kern w:val="0"/>
                <w:lang w:eastAsia="pl-PL" w:bidi="ar-SA"/>
              </w:rPr>
              <w:t>bjawy zakrzepicy żył głębokich to obrzęk i ból kończyny. Zakrzepica żył głębokich może być powikłana zatorowością płucną. Objawami zatorowości płucnej mogą być: nagła duszność, ból w klatce piersiowej, krwioplucie, spadek ciśnienia tętniczego krwi, przyśpieszenie czynności serca, utrata przytomności, zatrzymanie akcji serca</w:t>
            </w:r>
          </w:p>
        </w:tc>
      </w:tr>
      <w:tr w:rsidR="005909F9" w:rsidRPr="002D0799" w14:paraId="3963BB07" w14:textId="77777777" w:rsidTr="005909F9">
        <w:tc>
          <w:tcPr>
            <w:tcW w:w="0" w:type="auto"/>
            <w:tcBorders>
              <w:top w:val="single" w:sz="2" w:space="0" w:color="57524A"/>
              <w:left w:val="single" w:sz="2" w:space="0" w:color="57524A"/>
              <w:bottom w:val="single" w:sz="2" w:space="0" w:color="57524A"/>
              <w:right w:val="single" w:sz="2" w:space="0" w:color="57524A"/>
            </w:tcBorders>
            <w:shd w:val="clear" w:color="auto" w:fill="FFFFFF"/>
            <w:vAlign w:val="center"/>
            <w:hideMark/>
          </w:tcPr>
          <w:p w14:paraId="72117011" w14:textId="0195B96B" w:rsidR="005909F9" w:rsidRPr="002D0799" w:rsidRDefault="005909F9" w:rsidP="005909F9">
            <w:pPr>
              <w:suppressAutoHyphens w:val="0"/>
              <w:spacing w:line="240" w:lineRule="auto"/>
              <w:jc w:val="center"/>
              <w:rPr>
                <w:rFonts w:ascii="Arial" w:eastAsia="Arial" w:hAnsi="Arial" w:cs="Arial"/>
                <w:kern w:val="0"/>
                <w:lang w:eastAsia="pl-PL" w:bidi="ar-SA"/>
              </w:rPr>
            </w:pPr>
            <w:r w:rsidRPr="002D0799">
              <w:rPr>
                <w:rFonts w:ascii="Arial" w:eastAsia="Arial" w:hAnsi="Arial" w:cs="Arial"/>
                <w:kern w:val="0"/>
                <w:lang w:eastAsia="pl-PL" w:bidi="ar-SA"/>
              </w:rPr>
              <w:t>-</w:t>
            </w:r>
          </w:p>
        </w:tc>
        <w:tc>
          <w:tcPr>
            <w:tcW w:w="0" w:type="auto"/>
            <w:tcBorders>
              <w:top w:val="single" w:sz="2" w:space="0" w:color="57524A"/>
              <w:left w:val="single" w:sz="2" w:space="0" w:color="57524A"/>
              <w:bottom w:val="single" w:sz="2" w:space="0" w:color="57524A"/>
              <w:right w:val="single" w:sz="2" w:space="0" w:color="57524A"/>
            </w:tcBorders>
            <w:shd w:val="clear" w:color="auto" w:fill="FFFFFF"/>
            <w:vAlign w:val="center"/>
            <w:hideMark/>
          </w:tcPr>
          <w:p w14:paraId="22051E2F" w14:textId="4E579C07" w:rsidR="005909F9" w:rsidRPr="002D0799" w:rsidRDefault="005909F9" w:rsidP="002D0799">
            <w:pPr>
              <w:suppressAutoHyphens w:val="0"/>
              <w:spacing w:line="240" w:lineRule="auto"/>
              <w:rPr>
                <w:rFonts w:ascii="Arial" w:eastAsia="Arial" w:hAnsi="Arial" w:cs="Arial"/>
                <w:kern w:val="0"/>
                <w:lang w:eastAsia="pl-PL" w:bidi="ar-SA"/>
              </w:rPr>
            </w:pPr>
            <w:r w:rsidRPr="002D0799">
              <w:rPr>
                <w:rFonts w:ascii="Arial" w:eastAsia="Arial" w:hAnsi="Arial" w:cs="Arial"/>
                <w:kern w:val="0"/>
                <w:lang w:eastAsia="pl-PL" w:bidi="ar-SA"/>
              </w:rPr>
              <w:t>zakrzepica (zakrzepowe zapalenie) żył powierzchownych</w:t>
            </w:r>
          </w:p>
        </w:tc>
      </w:tr>
      <w:tr w:rsidR="005909F9" w:rsidRPr="002D0799" w14:paraId="6752972F" w14:textId="77777777" w:rsidTr="005909F9">
        <w:tc>
          <w:tcPr>
            <w:tcW w:w="0" w:type="auto"/>
            <w:tcBorders>
              <w:top w:val="single" w:sz="2" w:space="0" w:color="57524A"/>
              <w:left w:val="single" w:sz="2" w:space="0" w:color="57524A"/>
              <w:bottom w:val="single" w:sz="2" w:space="0" w:color="57524A"/>
              <w:right w:val="single" w:sz="2" w:space="0" w:color="57524A"/>
            </w:tcBorders>
            <w:shd w:val="clear" w:color="auto" w:fill="FFFFFF"/>
            <w:hideMark/>
          </w:tcPr>
          <w:p w14:paraId="420AE019" w14:textId="4CE9DD39" w:rsidR="005909F9" w:rsidRPr="002D0799" w:rsidRDefault="005909F9" w:rsidP="002D0799">
            <w:pPr>
              <w:suppressAutoHyphens w:val="0"/>
              <w:spacing w:line="240" w:lineRule="auto"/>
              <w:jc w:val="center"/>
              <w:rPr>
                <w:rFonts w:ascii="Arial" w:eastAsia="Arial" w:hAnsi="Arial" w:cs="Arial"/>
                <w:kern w:val="0"/>
                <w:lang w:eastAsia="pl-PL" w:bidi="ar-SA"/>
              </w:rPr>
            </w:pPr>
            <w:r w:rsidRPr="002D0799">
              <w:rPr>
                <w:rFonts w:ascii="Arial" w:eastAsia="Arial" w:hAnsi="Arial" w:cs="Arial"/>
                <w:kern w:val="0"/>
                <w:lang w:eastAsia="pl-PL" w:bidi="ar-SA"/>
              </w:rPr>
              <w:t>-</w:t>
            </w:r>
          </w:p>
        </w:tc>
        <w:tc>
          <w:tcPr>
            <w:tcW w:w="0" w:type="auto"/>
            <w:tcBorders>
              <w:top w:val="single" w:sz="2" w:space="0" w:color="57524A"/>
              <w:left w:val="single" w:sz="2" w:space="0" w:color="57524A"/>
              <w:bottom w:val="single" w:sz="2" w:space="0" w:color="57524A"/>
              <w:right w:val="single" w:sz="2" w:space="0" w:color="57524A"/>
            </w:tcBorders>
            <w:shd w:val="clear" w:color="auto" w:fill="FFFFFF"/>
            <w:vAlign w:val="center"/>
            <w:hideMark/>
          </w:tcPr>
          <w:p w14:paraId="3643EFC8" w14:textId="13B7917C" w:rsidR="005909F9" w:rsidRPr="002D0799" w:rsidRDefault="005909F9" w:rsidP="002D0799">
            <w:pPr>
              <w:suppressAutoHyphens w:val="0"/>
              <w:spacing w:line="240" w:lineRule="auto"/>
              <w:rPr>
                <w:rFonts w:ascii="Arial" w:eastAsia="Arial" w:hAnsi="Arial" w:cs="Arial"/>
                <w:kern w:val="0"/>
                <w:lang w:eastAsia="pl-PL" w:bidi="ar-SA"/>
              </w:rPr>
            </w:pPr>
            <w:r w:rsidRPr="002D0799">
              <w:rPr>
                <w:rFonts w:ascii="Arial" w:eastAsia="Arial" w:hAnsi="Arial" w:cs="Arial"/>
                <w:kern w:val="0"/>
                <w:lang w:eastAsia="pl-PL" w:bidi="ar-SA"/>
              </w:rPr>
              <w:t>uszkodzenia sąsiednich narządów (np. tętnicy udowej, żyły udowej, węzłów chłonnych). Ryzyko wzrasta przy znacznej otyłości, przy zaburzonych stosunkach anatomicznych, u chorych, którzy poprzednio przebyli zabiegi operacyjne w okolicy pachwinowej, u chorych po przebytych rozległych stanach zapalnych, urazach, napromienianiu tej okolicy</w:t>
            </w:r>
          </w:p>
        </w:tc>
      </w:tr>
      <w:tr w:rsidR="005909F9" w:rsidRPr="002D0799" w14:paraId="51D2D85A" w14:textId="77777777" w:rsidTr="005909F9">
        <w:tc>
          <w:tcPr>
            <w:tcW w:w="0" w:type="auto"/>
            <w:tcBorders>
              <w:top w:val="single" w:sz="2" w:space="0" w:color="57524A"/>
              <w:left w:val="single" w:sz="2" w:space="0" w:color="57524A"/>
              <w:bottom w:val="single" w:sz="2" w:space="0" w:color="57524A"/>
              <w:right w:val="single" w:sz="2" w:space="0" w:color="57524A"/>
            </w:tcBorders>
            <w:shd w:val="clear" w:color="auto" w:fill="FFFFFF"/>
            <w:vAlign w:val="center"/>
            <w:hideMark/>
          </w:tcPr>
          <w:p w14:paraId="667EC382" w14:textId="4B795AEE" w:rsidR="005909F9" w:rsidRPr="002D0799" w:rsidRDefault="005909F9" w:rsidP="002D0799">
            <w:pPr>
              <w:suppressAutoHyphens w:val="0"/>
              <w:spacing w:line="240" w:lineRule="auto"/>
              <w:jc w:val="center"/>
              <w:rPr>
                <w:rFonts w:ascii="Arial" w:eastAsia="Arial" w:hAnsi="Arial" w:cs="Arial"/>
                <w:kern w:val="0"/>
                <w:lang w:eastAsia="pl-PL" w:bidi="ar-SA"/>
              </w:rPr>
            </w:pPr>
            <w:r w:rsidRPr="002D0799">
              <w:rPr>
                <w:rFonts w:ascii="Arial" w:eastAsia="Arial" w:hAnsi="Arial" w:cs="Arial"/>
                <w:kern w:val="0"/>
                <w:lang w:eastAsia="pl-PL" w:bidi="ar-SA"/>
              </w:rPr>
              <w:t>-</w:t>
            </w:r>
          </w:p>
        </w:tc>
        <w:tc>
          <w:tcPr>
            <w:tcW w:w="0" w:type="auto"/>
            <w:tcBorders>
              <w:top w:val="single" w:sz="2" w:space="0" w:color="57524A"/>
              <w:left w:val="single" w:sz="2" w:space="0" w:color="57524A"/>
              <w:bottom w:val="single" w:sz="2" w:space="0" w:color="57524A"/>
              <w:right w:val="single" w:sz="2" w:space="0" w:color="57524A"/>
            </w:tcBorders>
            <w:shd w:val="clear" w:color="auto" w:fill="FFFFFF"/>
            <w:vAlign w:val="center"/>
            <w:hideMark/>
          </w:tcPr>
          <w:p w14:paraId="281F3F79" w14:textId="0454FB12" w:rsidR="005909F9" w:rsidRPr="002D0799" w:rsidRDefault="005909F9" w:rsidP="002D0799">
            <w:pPr>
              <w:suppressAutoHyphens w:val="0"/>
              <w:spacing w:line="240" w:lineRule="auto"/>
              <w:rPr>
                <w:rFonts w:ascii="Arial" w:eastAsia="Arial" w:hAnsi="Arial" w:cs="Arial"/>
                <w:kern w:val="0"/>
                <w:lang w:eastAsia="pl-PL" w:bidi="ar-SA"/>
              </w:rPr>
            </w:pPr>
            <w:r w:rsidRPr="002D0799">
              <w:rPr>
                <w:rFonts w:ascii="Arial" w:eastAsia="Arial" w:hAnsi="Arial" w:cs="Arial"/>
                <w:kern w:val="0"/>
                <w:lang w:eastAsia="pl-PL" w:bidi="ar-SA"/>
              </w:rPr>
              <w:t>uszkodzeniem nerwów czuciowych</w:t>
            </w:r>
            <w:r w:rsidRPr="005909F9">
              <w:rPr>
                <w:rFonts w:ascii="Arial" w:eastAsia="Arial" w:hAnsi="Arial" w:cs="Arial"/>
                <w:kern w:val="0"/>
                <w:lang w:eastAsia="pl-PL" w:bidi="ar-SA"/>
              </w:rPr>
              <w:t xml:space="preserve"> - j</w:t>
            </w:r>
            <w:r w:rsidRPr="002D0799">
              <w:rPr>
                <w:rFonts w:ascii="Arial" w:eastAsia="Arial" w:hAnsi="Arial" w:cs="Arial"/>
                <w:kern w:val="0"/>
                <w:lang w:eastAsia="pl-PL" w:bidi="ar-SA"/>
              </w:rPr>
              <w:t>est to powikłanie niegroźne, ale może być uciążliwe. Może prowadzić do przeczulicy lub niedoczulicy skóry</w:t>
            </w:r>
          </w:p>
        </w:tc>
      </w:tr>
    </w:tbl>
    <w:p w14:paraId="7DA5EA49" w14:textId="77777777" w:rsidR="002D0799" w:rsidRPr="002D0799" w:rsidRDefault="002D0799" w:rsidP="002D0799">
      <w:pPr>
        <w:suppressAutoHyphens w:val="0"/>
        <w:rPr>
          <w:rFonts w:ascii="Arial" w:eastAsia="Arial" w:hAnsi="Arial" w:cs="Arial"/>
          <w:vanish/>
          <w:kern w:val="0"/>
          <w:lang w:eastAsia="pl-PL" w:bidi="ar-SA"/>
        </w:rPr>
      </w:pPr>
    </w:p>
    <w:tbl>
      <w:tblPr>
        <w:tblW w:w="10206" w:type="dxa"/>
        <w:tblBorders>
          <w:top w:val="single" w:sz="2" w:space="0" w:color="57524A"/>
          <w:left w:val="single" w:sz="2" w:space="0" w:color="57524A"/>
          <w:bottom w:val="single" w:sz="2" w:space="0" w:color="57524A"/>
          <w:right w:val="single" w:sz="2" w:space="0" w:color="57524A"/>
        </w:tblBorders>
        <w:shd w:val="clear" w:color="auto" w:fill="FFFFFF"/>
        <w:tblCellMar>
          <w:top w:w="15" w:type="dxa"/>
          <w:left w:w="15" w:type="dxa"/>
          <w:bottom w:w="15" w:type="dxa"/>
          <w:right w:w="15" w:type="dxa"/>
        </w:tblCellMar>
        <w:tblLook w:val="04A0" w:firstRow="1" w:lastRow="0" w:firstColumn="1" w:lastColumn="0" w:noHBand="0" w:noVBand="1"/>
      </w:tblPr>
      <w:tblGrid>
        <w:gridCol w:w="284"/>
        <w:gridCol w:w="9922"/>
      </w:tblGrid>
      <w:tr w:rsidR="002D0799" w:rsidRPr="002D0799" w14:paraId="3F30B7E8" w14:textId="77777777">
        <w:tc>
          <w:tcPr>
            <w:tcW w:w="284" w:type="dxa"/>
            <w:tcBorders>
              <w:top w:val="single" w:sz="2" w:space="0" w:color="57524A"/>
              <w:left w:val="single" w:sz="2" w:space="0" w:color="57524A"/>
              <w:bottom w:val="single" w:sz="2" w:space="0" w:color="57524A"/>
              <w:right w:val="single" w:sz="2" w:space="0" w:color="57524A"/>
            </w:tcBorders>
            <w:shd w:val="clear" w:color="auto" w:fill="FFFFFF"/>
            <w:vAlign w:val="center"/>
            <w:hideMark/>
          </w:tcPr>
          <w:p w14:paraId="6119F378" w14:textId="77777777" w:rsidR="002D0799" w:rsidRPr="002D0799" w:rsidRDefault="002D0799" w:rsidP="002D0799">
            <w:pPr>
              <w:suppressAutoHyphens w:val="0"/>
              <w:spacing w:line="240" w:lineRule="auto"/>
              <w:jc w:val="center"/>
              <w:rPr>
                <w:rFonts w:ascii="Arial" w:eastAsia="Arial" w:hAnsi="Arial" w:cs="Arial"/>
                <w:kern w:val="0"/>
                <w:lang w:eastAsia="pl-PL" w:bidi="ar-SA"/>
              </w:rPr>
            </w:pPr>
            <w:r w:rsidRPr="002D0799">
              <w:rPr>
                <w:rFonts w:ascii="Arial" w:eastAsia="Arial" w:hAnsi="Arial" w:cs="Arial"/>
                <w:kern w:val="0"/>
                <w:lang w:eastAsia="pl-PL" w:bidi="ar-SA"/>
              </w:rPr>
              <w:t>-</w:t>
            </w:r>
          </w:p>
        </w:tc>
        <w:tc>
          <w:tcPr>
            <w:tcW w:w="0" w:type="auto"/>
            <w:tcBorders>
              <w:top w:val="single" w:sz="2" w:space="0" w:color="57524A"/>
              <w:left w:val="single" w:sz="2" w:space="0" w:color="57524A"/>
              <w:bottom w:val="single" w:sz="2" w:space="0" w:color="57524A"/>
              <w:right w:val="single" w:sz="2" w:space="0" w:color="57524A"/>
            </w:tcBorders>
            <w:shd w:val="clear" w:color="auto" w:fill="FFFFFF"/>
            <w:vAlign w:val="center"/>
            <w:hideMark/>
          </w:tcPr>
          <w:p w14:paraId="3B9E33A9" w14:textId="4B309DC8" w:rsidR="002D0799" w:rsidRPr="002D0799" w:rsidRDefault="002D0799" w:rsidP="002D0799">
            <w:pPr>
              <w:suppressAutoHyphens w:val="0"/>
              <w:spacing w:line="240" w:lineRule="auto"/>
              <w:rPr>
                <w:rFonts w:ascii="Arial" w:eastAsia="Arial" w:hAnsi="Arial" w:cs="Arial"/>
                <w:kern w:val="0"/>
                <w:lang w:eastAsia="pl-PL" w:bidi="ar-SA"/>
              </w:rPr>
            </w:pPr>
            <w:r w:rsidRPr="002D0799">
              <w:rPr>
                <w:rFonts w:ascii="Arial" w:eastAsia="Arial" w:hAnsi="Arial" w:cs="Arial"/>
                <w:kern w:val="0"/>
                <w:lang w:eastAsia="pl-PL" w:bidi="ar-SA"/>
              </w:rPr>
              <w:t>zakażenia miejsca nakłucia kończyny (przy wprowadzeniu sondy do termoablacji)</w:t>
            </w:r>
          </w:p>
        </w:tc>
      </w:tr>
      <w:tr w:rsidR="002D0799" w:rsidRPr="002D0799" w14:paraId="1DFEFAB6" w14:textId="77777777">
        <w:tc>
          <w:tcPr>
            <w:tcW w:w="0" w:type="auto"/>
            <w:tcBorders>
              <w:top w:val="single" w:sz="2" w:space="0" w:color="57524A"/>
              <w:left w:val="single" w:sz="2" w:space="0" w:color="57524A"/>
              <w:bottom w:val="single" w:sz="2" w:space="0" w:color="57524A"/>
              <w:right w:val="single" w:sz="2" w:space="0" w:color="57524A"/>
            </w:tcBorders>
            <w:shd w:val="clear" w:color="auto" w:fill="FFFFFF"/>
            <w:vAlign w:val="center"/>
            <w:hideMark/>
          </w:tcPr>
          <w:p w14:paraId="4B0C0D22" w14:textId="77777777" w:rsidR="002D0799" w:rsidRPr="002D0799" w:rsidRDefault="002D0799" w:rsidP="002D0799">
            <w:pPr>
              <w:suppressAutoHyphens w:val="0"/>
              <w:spacing w:line="240" w:lineRule="auto"/>
              <w:jc w:val="center"/>
              <w:rPr>
                <w:rFonts w:ascii="Arial" w:eastAsia="Arial" w:hAnsi="Arial" w:cs="Arial"/>
                <w:kern w:val="0"/>
                <w:lang w:eastAsia="pl-PL" w:bidi="ar-SA"/>
              </w:rPr>
            </w:pPr>
            <w:r w:rsidRPr="002D0799">
              <w:rPr>
                <w:rFonts w:ascii="Arial" w:eastAsia="Arial" w:hAnsi="Arial" w:cs="Arial"/>
                <w:kern w:val="0"/>
                <w:lang w:eastAsia="pl-PL" w:bidi="ar-SA"/>
              </w:rPr>
              <w:t>-</w:t>
            </w:r>
          </w:p>
        </w:tc>
        <w:tc>
          <w:tcPr>
            <w:tcW w:w="0" w:type="auto"/>
            <w:tcBorders>
              <w:top w:val="single" w:sz="2" w:space="0" w:color="57524A"/>
              <w:left w:val="single" w:sz="2" w:space="0" w:color="57524A"/>
              <w:bottom w:val="single" w:sz="2" w:space="0" w:color="57524A"/>
              <w:right w:val="single" w:sz="2" w:space="0" w:color="57524A"/>
            </w:tcBorders>
            <w:shd w:val="clear" w:color="auto" w:fill="FFFFFF"/>
            <w:vAlign w:val="center"/>
            <w:hideMark/>
          </w:tcPr>
          <w:p w14:paraId="2860A0A1" w14:textId="2321DCFF" w:rsidR="002D0799" w:rsidRPr="002D0799" w:rsidRDefault="002D0799" w:rsidP="002D0799">
            <w:pPr>
              <w:suppressAutoHyphens w:val="0"/>
              <w:spacing w:line="240" w:lineRule="auto"/>
              <w:rPr>
                <w:rFonts w:ascii="Arial" w:eastAsia="Arial" w:hAnsi="Arial" w:cs="Arial"/>
                <w:kern w:val="0"/>
                <w:lang w:eastAsia="pl-PL" w:bidi="ar-SA"/>
              </w:rPr>
            </w:pPr>
            <w:r w:rsidRPr="002D0799">
              <w:rPr>
                <w:rFonts w:ascii="Arial" w:eastAsia="Arial" w:hAnsi="Arial" w:cs="Arial"/>
                <w:kern w:val="0"/>
                <w:lang w:eastAsia="pl-PL" w:bidi="ar-SA"/>
              </w:rPr>
              <w:t>uszkodzeniem skóry przez środki dezynfekujące lub prąd elektryczny</w:t>
            </w:r>
          </w:p>
        </w:tc>
      </w:tr>
      <w:tr w:rsidR="002D0799" w:rsidRPr="002D0799" w14:paraId="6C2A29AC" w14:textId="77777777">
        <w:tc>
          <w:tcPr>
            <w:tcW w:w="0" w:type="auto"/>
            <w:tcBorders>
              <w:top w:val="single" w:sz="2" w:space="0" w:color="57524A"/>
              <w:left w:val="single" w:sz="2" w:space="0" w:color="57524A"/>
              <w:bottom w:val="single" w:sz="2" w:space="0" w:color="57524A"/>
              <w:right w:val="single" w:sz="2" w:space="0" w:color="57524A"/>
            </w:tcBorders>
            <w:shd w:val="clear" w:color="auto" w:fill="FFFFFF"/>
            <w:vAlign w:val="center"/>
            <w:hideMark/>
          </w:tcPr>
          <w:p w14:paraId="59E4D0C3" w14:textId="77777777" w:rsidR="002D0799" w:rsidRPr="002D0799" w:rsidRDefault="002D0799" w:rsidP="002D0799">
            <w:pPr>
              <w:suppressAutoHyphens w:val="0"/>
              <w:spacing w:line="240" w:lineRule="auto"/>
              <w:jc w:val="center"/>
              <w:rPr>
                <w:rFonts w:ascii="Arial" w:eastAsia="Arial" w:hAnsi="Arial" w:cs="Arial"/>
                <w:kern w:val="0"/>
                <w:lang w:eastAsia="pl-PL" w:bidi="ar-SA"/>
              </w:rPr>
            </w:pPr>
            <w:r w:rsidRPr="002D0799">
              <w:rPr>
                <w:rFonts w:ascii="Arial" w:eastAsia="Arial" w:hAnsi="Arial" w:cs="Arial"/>
                <w:kern w:val="0"/>
                <w:lang w:eastAsia="pl-PL" w:bidi="ar-SA"/>
              </w:rPr>
              <w:t>-</w:t>
            </w:r>
          </w:p>
        </w:tc>
        <w:tc>
          <w:tcPr>
            <w:tcW w:w="0" w:type="auto"/>
            <w:tcBorders>
              <w:top w:val="single" w:sz="2" w:space="0" w:color="57524A"/>
              <w:left w:val="single" w:sz="2" w:space="0" w:color="57524A"/>
              <w:bottom w:val="single" w:sz="2" w:space="0" w:color="57524A"/>
              <w:right w:val="single" w:sz="2" w:space="0" w:color="57524A"/>
            </w:tcBorders>
            <w:shd w:val="clear" w:color="auto" w:fill="FFFFFF"/>
            <w:vAlign w:val="center"/>
            <w:hideMark/>
          </w:tcPr>
          <w:p w14:paraId="3A29AEF8" w14:textId="6527E638" w:rsidR="002D0799" w:rsidRPr="002D0799" w:rsidRDefault="002D0799" w:rsidP="002D0799">
            <w:pPr>
              <w:suppressAutoHyphens w:val="0"/>
              <w:spacing w:line="240" w:lineRule="auto"/>
              <w:rPr>
                <w:rFonts w:ascii="Arial" w:eastAsia="Arial" w:hAnsi="Arial" w:cs="Arial"/>
                <w:kern w:val="0"/>
                <w:lang w:eastAsia="pl-PL" w:bidi="ar-SA"/>
              </w:rPr>
            </w:pPr>
            <w:r w:rsidRPr="002D0799">
              <w:rPr>
                <w:rFonts w:ascii="Arial" w:eastAsia="Arial" w:hAnsi="Arial" w:cs="Arial"/>
                <w:kern w:val="0"/>
                <w:lang w:eastAsia="pl-PL" w:bidi="ar-SA"/>
              </w:rPr>
              <w:t>inne bardzo  rzadkie powikłania, tutaj nie wymienione</w:t>
            </w:r>
          </w:p>
        </w:tc>
      </w:tr>
    </w:tbl>
    <w:p w14:paraId="2159521A" w14:textId="77777777" w:rsidR="002D0799" w:rsidRDefault="002D0799" w:rsidP="002D0799">
      <w:pPr>
        <w:spacing w:line="360" w:lineRule="auto"/>
        <w:rPr>
          <w:rFonts w:asciiTheme="minorHAnsi" w:hAnsiTheme="minorHAnsi" w:cstheme="minorHAnsi"/>
          <w:bCs/>
        </w:rPr>
      </w:pPr>
    </w:p>
    <w:p w14:paraId="34B64489" w14:textId="12833E21" w:rsidR="005909F9" w:rsidRPr="005909F9" w:rsidRDefault="005909F9" w:rsidP="005909F9">
      <w:pPr>
        <w:pStyle w:val="Akapitzlist"/>
        <w:numPr>
          <w:ilvl w:val="0"/>
          <w:numId w:val="8"/>
        </w:numPr>
        <w:spacing w:line="360" w:lineRule="auto"/>
        <w:rPr>
          <w:rFonts w:asciiTheme="minorHAnsi" w:hAnsiTheme="minorHAnsi" w:cstheme="minorHAnsi"/>
          <w:bCs/>
        </w:rPr>
      </w:pPr>
      <w:r w:rsidRPr="005909F9">
        <w:rPr>
          <w:rFonts w:asciiTheme="minorHAnsi" w:hAnsiTheme="minorHAnsi" w:cstheme="minorHAnsi"/>
          <w:bCs/>
          <w:u w:val="single"/>
        </w:rPr>
        <w:t>Opis prognozy pooperacyjnej i powikłań odległych</w:t>
      </w:r>
    </w:p>
    <w:p w14:paraId="18F50123" w14:textId="3125CC56" w:rsidR="005909F9" w:rsidRDefault="005909F9" w:rsidP="005909F9">
      <w:pPr>
        <w:spacing w:line="360" w:lineRule="auto"/>
        <w:jc w:val="both"/>
        <w:rPr>
          <w:rFonts w:asciiTheme="minorHAnsi" w:hAnsiTheme="minorHAnsi" w:cstheme="minorHAnsi"/>
          <w:bCs/>
        </w:rPr>
      </w:pPr>
      <w:r w:rsidRPr="005909F9">
        <w:rPr>
          <w:rFonts w:asciiTheme="minorHAnsi" w:hAnsiTheme="minorHAnsi" w:cstheme="minorHAnsi"/>
          <w:bCs/>
        </w:rPr>
        <w:t>Operacja żylaków kończyn dolnych zapobiega rozwojowi przewlekłej niewydolności żylnej, w tym najgroźniejszemu powikłaniu, jakim jest owrzodzenie żylne goleni. Operacja nie jest leczeniem przyczynowym, dlatego w późnym okresie po operacji mogą znowu pojawić się żylaki kończyn dolnych. Przyczyną nawrotów jest najczęściej genetycznie uwarunkowana predyspozycja do powstawania żylaków.</w:t>
      </w:r>
    </w:p>
    <w:p w14:paraId="266FFA62" w14:textId="77777777" w:rsidR="005909F9" w:rsidRDefault="005909F9" w:rsidP="005909F9">
      <w:pPr>
        <w:spacing w:line="360" w:lineRule="auto"/>
        <w:jc w:val="both"/>
        <w:rPr>
          <w:rFonts w:asciiTheme="minorHAnsi" w:hAnsiTheme="minorHAnsi" w:cstheme="minorHAnsi"/>
          <w:bCs/>
        </w:rPr>
      </w:pPr>
    </w:p>
    <w:p w14:paraId="66F811FE" w14:textId="5C947039" w:rsidR="005909F9" w:rsidRPr="005909F9" w:rsidRDefault="005909F9" w:rsidP="005909F9">
      <w:pPr>
        <w:pStyle w:val="Akapitzlist"/>
        <w:numPr>
          <w:ilvl w:val="0"/>
          <w:numId w:val="8"/>
        </w:numPr>
        <w:spacing w:line="360" w:lineRule="auto"/>
        <w:jc w:val="both"/>
        <w:rPr>
          <w:rFonts w:asciiTheme="minorHAnsi" w:hAnsiTheme="minorHAnsi" w:cstheme="minorHAnsi"/>
          <w:bCs/>
          <w:u w:val="single"/>
        </w:rPr>
      </w:pPr>
      <w:r w:rsidRPr="005909F9">
        <w:rPr>
          <w:rFonts w:asciiTheme="minorHAnsi" w:hAnsiTheme="minorHAnsi" w:cstheme="minorHAnsi"/>
          <w:bCs/>
          <w:u w:val="single"/>
        </w:rPr>
        <w:t>Oświadczenie pacjenta</w:t>
      </w:r>
    </w:p>
    <w:p w14:paraId="77260314" w14:textId="764E6130" w:rsidR="005909F9" w:rsidRDefault="005909F9" w:rsidP="005909F9">
      <w:pPr>
        <w:spacing w:line="360" w:lineRule="auto"/>
        <w:jc w:val="both"/>
        <w:rPr>
          <w:rFonts w:asciiTheme="minorHAnsi" w:hAnsiTheme="minorHAnsi" w:cstheme="minorHAnsi"/>
          <w:bCs/>
        </w:rPr>
      </w:pPr>
      <w:r w:rsidRPr="005909F9">
        <w:rPr>
          <w:rFonts w:asciiTheme="minorHAnsi" w:hAnsiTheme="minorHAnsi" w:cstheme="minorHAnsi"/>
          <w:bCs/>
        </w:rPr>
        <w:t xml:space="preserve">Oświadczam, iż zapoznałem/łam* się z treścią niniejszego formularza oraz zostałem/łam* poinformowany/na* przez</w:t>
      </w:r>
      <w:r w:rsidRPr="005909F9">
        <w:rPr>
          <w:rFonts w:ascii="Calibri" w:hAnsi="Calibri" w:cs="Calibri"/>
          <w:bCs/>
        </w:rPr>
        <w:t xml:space="preserve">   </w:t>
      </w:r>
      <w:r>
        <w:rPr>
          <w:rFonts w:asciiTheme="minorHAnsi" w:hAnsiTheme="minorHAnsi" w:cstheme="minorHAnsi"/>
          <w:bCs/>
        </w:rPr>
        <w:t xml:space="preserve">lekarza prowadzącego </w:t>
      </w:r>
      <w:r w:rsidRPr="005909F9">
        <w:rPr>
          <w:rFonts w:asciiTheme="minorHAnsi" w:hAnsiTheme="minorHAnsi" w:cstheme="minorHAnsi"/>
          <w:bCs/>
        </w:rPr>
        <w:t xml:space="preserve">o proponowanym rodzaju leczenia. </w:t>
      </w:r>
      <w:r w:rsidRPr="005909F9">
        <w:rPr>
          <w:rFonts w:asciiTheme="minorHAnsi" w:hAnsiTheme="minorHAnsi" w:cstheme="minorHAnsi"/>
          <w:bCs/>
        </w:rPr>
        <w:lastRenderedPageBreak/>
        <w:t>Oświadczam, iż miałem/łam* możliwość zadawania pytań dotyczących proponowanego leczenia i otrzymałem/łam* na nie wyczerpujące odpowiedzi.</w:t>
      </w:r>
    </w:p>
    <w:p w14:paraId="3D14DB51" w14:textId="77777777" w:rsidR="005909F9" w:rsidRDefault="005909F9" w:rsidP="005909F9">
      <w:pPr>
        <w:spacing w:line="360" w:lineRule="auto"/>
        <w:jc w:val="both"/>
        <w:rPr>
          <w:rFonts w:asciiTheme="minorHAnsi" w:hAnsiTheme="minorHAnsi" w:cstheme="minorHAnsi"/>
          <w:bCs/>
        </w:rPr>
      </w:pPr>
    </w:p>
    <w:p w14:paraId="67636E69" w14:textId="0DE552C1" w:rsidR="005909F9" w:rsidRDefault="005909F9" w:rsidP="005909F9">
      <w:pPr>
        <w:spacing w:line="360" w:lineRule="auto"/>
        <w:jc w:val="left"/>
        <w:rPr>
          <w:rFonts w:asciiTheme="minorHAnsi" w:hAnsiTheme="minorHAnsi" w:cstheme="minorHAnsi"/>
          <w:bCs/>
        </w:rPr>
      </w:pPr>
      <w:r>
        <w:rPr>
          <w:rFonts w:asciiTheme="minorHAnsi" w:hAnsiTheme="minorHAnsi" w:cstheme="minorHAnsi"/>
          <w:bCs/>
        </w:rPr>
        <w:t xml:space="preserve">Data i czytelny podpis pacjenta:</w:t>
      </w:r>
      <w:r>
        <w:rPr>
          <w:rFonts w:ascii="Calibri" w:hAnsi="Calibri" w:cs="Calibri"/>
          <w:bCs/>
        </w:rPr>
        <w:t xml:space="preserve"> ……………………………………………………………………………………………..</w:t>
      </w:r>
    </w:p>
    <w:p w14:paraId="0ED1F0BC" w14:textId="77777777" w:rsidR="005909F9" w:rsidRDefault="005909F9" w:rsidP="005909F9">
      <w:pPr>
        <w:spacing w:line="360" w:lineRule="auto"/>
        <w:jc w:val="both"/>
        <w:rPr>
          <w:rFonts w:asciiTheme="minorHAnsi" w:hAnsiTheme="minorHAnsi" w:cstheme="minorHAnsi"/>
          <w:bCs/>
        </w:rPr>
      </w:pPr>
    </w:p>
    <w:p w14:paraId="39C44061" w14:textId="3FB373D7" w:rsidR="005909F9" w:rsidRDefault="005909F9" w:rsidP="005909F9">
      <w:pPr>
        <w:spacing w:line="360" w:lineRule="auto"/>
        <w:jc w:val="both"/>
        <w:rPr>
          <w:rFonts w:asciiTheme="minorHAnsi" w:hAnsiTheme="minorHAnsi" w:cstheme="minorHAnsi"/>
          <w:bCs/>
        </w:rPr>
      </w:pPr>
      <w:r>
        <w:rPr>
          <w:rFonts w:asciiTheme="minorHAnsi" w:hAnsiTheme="minorHAnsi" w:cstheme="minorHAnsi"/>
          <w:bCs/>
        </w:rPr>
        <w:t>Wyrażam zgodę na przeprowadzenie proponowanej operacji.</w:t>
      </w:r>
    </w:p>
    <w:p w14:paraId="75C06628" w14:textId="77777777" w:rsidR="005909F9" w:rsidRDefault="005909F9" w:rsidP="005909F9">
      <w:pPr>
        <w:spacing w:line="360" w:lineRule="auto"/>
        <w:jc w:val="both"/>
        <w:rPr>
          <w:rFonts w:asciiTheme="minorHAnsi" w:hAnsiTheme="minorHAnsi" w:cstheme="minorHAnsi"/>
          <w:bCs/>
        </w:rPr>
      </w:pPr>
    </w:p>
    <w:p w14:paraId="58AC01E0" w14:textId="1D184B45" w:rsidR="005909F9" w:rsidRPr="005909F9" w:rsidRDefault="005909F9" w:rsidP="005909F9">
      <w:pPr>
        <w:spacing w:line="360" w:lineRule="auto"/>
        <w:jc w:val="left"/>
        <w:rPr>
          <w:rFonts w:asciiTheme="minorHAnsi" w:hAnsiTheme="minorHAnsi" w:cstheme="minorHAnsi"/>
          <w:bCs/>
        </w:rPr>
      </w:pPr>
      <w:r>
        <w:rPr>
          <w:rFonts w:asciiTheme="minorHAnsi" w:hAnsiTheme="minorHAnsi" w:cstheme="minorHAnsi"/>
          <w:bCs/>
        </w:rPr>
        <w:t xml:space="preserve">Data i czytelny podpis pacjenta:</w:t>
      </w:r>
      <w:r>
        <w:rPr>
          <w:rFonts w:ascii="Calibri" w:hAnsi="Calibri" w:cs="Calibri"/>
          <w:bCs/>
        </w:rPr>
        <w:t xml:space="preserve"> ……………………………………………………………………………………………</w:t>
      </w:r>
    </w:p>
    <w:sectPr w:rsidR="005909F9" w:rsidRPr="005909F9">
      <w:headerReference w:type="default" r:id="rId8"/>
      <w:footerReference w:type="default" r:id="rId9"/>
      <w:pgSz w:w="11906" w:h="16838"/>
      <w:pgMar w:top="1417" w:right="1417" w:bottom="1417" w:left="1417" w:header="397" w:footer="34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113AF" w14:textId="77777777" w:rsidR="00F94CBC" w:rsidRDefault="00F94CBC">
      <w:r>
        <w:separator/>
      </w:r>
    </w:p>
  </w:endnote>
  <w:endnote w:type="continuationSeparator" w:id="0">
    <w:p w14:paraId="025BB7F5" w14:textId="77777777" w:rsidR="00F94CBC" w:rsidRDefault="00F94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Lucida Sans">
    <w:panose1 w:val="020B0602040502020204"/>
    <w:charset w:val="00"/>
    <w:family w:val="swiss"/>
    <w:pitch w:val="variable"/>
    <w:sig w:usb0="8100AAF7" w:usb1="0000807B" w:usb2="00000008" w:usb3="00000000" w:csb0="0000009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0"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ED984" w14:textId="77777777" w:rsidR="00F94CBC" w:rsidRDefault="00F94CBC">
      <w:r>
        <w:separator/>
      </w:r>
    </w:p>
  </w:footnote>
  <w:footnote w:type="continuationSeparator" w:id="0">
    <w:p w14:paraId="4D85FB3B" w14:textId="77777777" w:rsidR="00F94CBC" w:rsidRDefault="00F94C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0" name="Promed luk"/>
          <wp:cNvGraphicFramePr/>
          <a:graphic xmlns:a="http://schemas.openxmlformats.org/drawingml/2006/main">
            <a:graphicData uri="http://schemas.openxmlformats.org/drawingml/2006/picture">
              <pic:pic xmlns:pic="http://schemas.openxmlformats.org/drawingml/2006/picture">
                <pic:nvPicPr>
                  <pic:cNvPr id="9100"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0"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D1664"/>
    <w:multiLevelType w:val="multilevel"/>
    <w:tmpl w:val="59DA923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28910717"/>
    <w:multiLevelType w:val="hybridMultilevel"/>
    <w:tmpl w:val="EAF2D6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C032567"/>
    <w:multiLevelType w:val="multilevel"/>
    <w:tmpl w:val="1790318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3FDD4072"/>
    <w:multiLevelType w:val="multilevel"/>
    <w:tmpl w:val="49BC066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441D57E7"/>
    <w:multiLevelType w:val="multilevel"/>
    <w:tmpl w:val="0BAAD7C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4BE60236"/>
    <w:multiLevelType w:val="multilevel"/>
    <w:tmpl w:val="122EE9C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4F1B7303"/>
    <w:multiLevelType w:val="multilevel"/>
    <w:tmpl w:val="2B4081A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6C885EE1"/>
    <w:multiLevelType w:val="multilevel"/>
    <w:tmpl w:val="57D026C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1862620913">
    <w:abstractNumId w:val="3"/>
  </w:num>
  <w:num w:numId="2" w16cid:durableId="1438260112">
    <w:abstractNumId w:val="4"/>
  </w:num>
  <w:num w:numId="3" w16cid:durableId="1661537737">
    <w:abstractNumId w:val="2"/>
  </w:num>
  <w:num w:numId="4" w16cid:durableId="1379010122">
    <w:abstractNumId w:val="6"/>
  </w:num>
  <w:num w:numId="5" w16cid:durableId="2034333766">
    <w:abstractNumId w:val="0"/>
  </w:num>
  <w:num w:numId="6" w16cid:durableId="1262028529">
    <w:abstractNumId w:val="7"/>
  </w:num>
  <w:num w:numId="7" w16cid:durableId="1761022153">
    <w:abstractNumId w:val="5"/>
  </w:num>
  <w:num w:numId="8" w16cid:durableId="6181433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AB7252"/>
    <w:rsid w:val="002D0799"/>
    <w:rsid w:val="002E170D"/>
    <w:rsid w:val="005909F9"/>
    <w:rsid w:val="00AA73E2"/>
    <w:rsid w:val="00AB7252"/>
    <w:rsid w:val="00C96045"/>
    <w:rsid w:val="00D821C8"/>
    <w:rsid w:val="00ED1294"/>
    <w:rsid w:val="00F94CBC"/>
    <w:rsid w:val="00FA2C2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1CF9E"/>
  <w15:docId w15:val="{06D7D078-2D0E-4879-A48D-763B6C361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7140F"/>
        <w:sz w:val="20"/>
        <w:szCs w:val="20"/>
        <w:lang w:val="pl-PL" w:eastAsia="en-US" w:bidi="ar-SA"/>
      </w:rPr>
    </w:rPrDefault>
    <w:pPrDefault>
      <w:pPr>
        <w:suppressAutoHyphens/>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50ADF"/>
    <w:rPr>
      <w:rFonts w:ascii="Arial" w:eastAsia="Arial" w:hAnsi="Arial" w:cs="Arial"/>
      <w:kern w:val="2"/>
      <w:sz w:val="22"/>
      <w:szCs w:val="22"/>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007F50"/>
  </w:style>
  <w:style w:type="character" w:customStyle="1" w:styleId="StopkaZnak">
    <w:name w:val="Stopka Znak"/>
    <w:basedOn w:val="Domylnaczcionkaakapitu"/>
    <w:link w:val="Stopka"/>
    <w:uiPriority w:val="99"/>
    <w:qFormat/>
    <w:rsid w:val="00007F50"/>
  </w:style>
  <w:style w:type="character" w:customStyle="1" w:styleId="markedcontent">
    <w:name w:val="markedcontent"/>
    <w:basedOn w:val="Domylnaczcionkaakapitu"/>
    <w:qFormat/>
    <w:rsid w:val="00AC09CB"/>
  </w:style>
  <w:style w:type="character" w:customStyle="1" w:styleId="Znakiwypunktowania">
    <w:name w:val="Znaki wypunktowania"/>
    <w:qFormat/>
    <w:rPr>
      <w:rFonts w:ascii="OpenSymbol" w:eastAsia="OpenSymbol" w:hAnsi="OpenSymbol" w:cs="OpenSymbol"/>
    </w:rPr>
  </w:style>
  <w:style w:type="paragraph" w:styleId="Nagwek">
    <w:name w:val="header"/>
    <w:basedOn w:val="Normalny"/>
    <w:next w:val="Tekstpodstawowy"/>
    <w:link w:val="NagwekZnak"/>
    <w:uiPriority w:val="99"/>
    <w:unhideWhenUsed/>
    <w:rsid w:val="00007F50"/>
    <w:pPr>
      <w:tabs>
        <w:tab w:val="center" w:pos="4536"/>
        <w:tab w:val="right" w:pos="9072"/>
      </w:tabs>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007F50"/>
    <w:pPr>
      <w:tabs>
        <w:tab w:val="center" w:pos="4536"/>
        <w:tab w:val="right" w:pos="9072"/>
      </w:tabs>
    </w:pPr>
  </w:style>
  <w:style w:type="paragraph" w:styleId="Akapitzlist">
    <w:name w:val="List Paragraph"/>
    <w:basedOn w:val="Normalny"/>
    <w:uiPriority w:val="34"/>
    <w:qFormat/>
    <w:rsid w:val="00603370"/>
    <w:pPr>
      <w:ind w:left="720"/>
      <w:contextualSpacing/>
    </w:pPr>
    <w:rPr>
      <w:rFonts w:cs="Arial"/>
      <w:szCs w:val="19"/>
    </w:rPr>
  </w:style>
  <w:style w:type="paragraph" w:customStyle="1" w:styleId="Normalny1">
    <w:name w:val="Normalny1"/>
    <w:qFormat/>
    <w:rsid w:val="007E3215"/>
    <w:pPr>
      <w:spacing w:line="276" w:lineRule="auto"/>
    </w:pPr>
    <w:rPr>
      <w:rFonts w:ascii="Arial" w:eastAsia="Arial" w:hAnsi="Arial" w:cs="Arial"/>
      <w:color w:val="17140F"/>
      <w:lang w:eastAsia="pl-PL"/>
    </w:rPr>
  </w:style>
  <w:style w:type="paragraph" w:customStyle="1" w:styleId="Default">
    <w:name w:val="Default"/>
    <w:qFormat/>
    <w:rPr>
      <w:rFonts w:ascii="Arial" w:eastAsia="Arial" w:hAnsi="Arial"/>
      <w:color w:val="17140F"/>
      <w:sz w:val="24"/>
    </w:rPr>
  </w:style>
  <w:style w:type="paragraph" w:customStyle="1" w:styleId="Zawartotabeli">
    <w:name w:val="Zawartość tabeli"/>
    <w:basedOn w:val="Normalny"/>
    <w:qFormat/>
    <w:pPr>
      <w:widowControl w:val="0"/>
      <w:suppressLineNumbers/>
    </w:pPr>
  </w:style>
  <w:style w:type="paragraph" w:styleId="NormalnyWeb">
    <w:name w:val="Normal (Web)"/>
    <w:basedOn w:val="Normalny"/>
    <w:uiPriority w:val="99"/>
    <w:unhideWhenUsed/>
    <w:rsid w:val="002D0799"/>
    <w:pPr>
      <w:suppressAutoHyphens w:val="0"/>
    </w:pPr>
    <w:rPr>
      <w:rFonts w:ascii="Arial" w:eastAsia="Arial" w:hAnsi="Arial" w:cs="Arial"/>
      <w:kern w:val="0"/>
      <w:lang w:eastAsia="pl-P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CmpFooter" Type="http://schemas.openxmlformats.org/officeDocument/2006/relationships/image" Target="media/cmp_footer.png"/></Relationships>
</file>

<file path=word/_rels/header1.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theme/theme1.xml><?xml version="1.0" encoding="utf-8"?>
<a:theme xmlns:a="http://schemas.openxmlformats.org/drawingml/2006/main" name="Motyw pakietu Office">
  <a:themeElements>
    <a:clrScheme name="Pakiet Office">
      <a:dk1>
        <a:srgbClr val="17140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D5D90-ED48-48DA-8ADB-45C809A59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1498</TotalTime>
  <Pages>3</Pages>
  <Words>698</Words>
  <Characters>4191</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dc:description/>
  <cp:lastModifiedBy>rej8</cp:lastModifiedBy>
  <cp:revision>225</cp:revision>
  <cp:lastPrinted>2024-03-13T11:55:00Z</cp:lastPrinted>
  <dcterms:created xsi:type="dcterms:W3CDTF">2022-08-31T11:22:00Z</dcterms:created>
  <dcterms:modified xsi:type="dcterms:W3CDTF">2025-10-13T11:50:00Z</dcterms:modified>
  <dc:language>pl-PL</dc:language>
</cp:coreProperties>
</file>